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CEF7E" w14:textId="77777777" w:rsidR="006C598C" w:rsidRDefault="006C598C" w:rsidP="006C598C">
      <w:pPr>
        <w:autoSpaceDE w:val="0"/>
        <w:autoSpaceDN w:val="0"/>
        <w:adjustRightInd w:val="0"/>
        <w:jc w:val="center"/>
        <w:rPr>
          <w:rFonts w:eastAsia="Times New Roman"/>
          <w:b/>
          <w:bCs/>
          <w:sz w:val="28"/>
          <w:szCs w:val="28"/>
        </w:rPr>
      </w:pPr>
      <w:r>
        <w:rPr>
          <w:rFonts w:eastAsia="Times New Roman"/>
          <w:b/>
          <w:bCs/>
          <w:sz w:val="28"/>
          <w:szCs w:val="28"/>
        </w:rPr>
        <w:t>Порядок</w:t>
      </w:r>
    </w:p>
    <w:p w14:paraId="34CC7523" w14:textId="5FCECFD4" w:rsidR="006C598C" w:rsidRDefault="006C598C" w:rsidP="006C598C">
      <w:pPr>
        <w:autoSpaceDE w:val="0"/>
        <w:autoSpaceDN w:val="0"/>
        <w:adjustRightInd w:val="0"/>
        <w:ind w:left="540"/>
        <w:jc w:val="center"/>
        <w:rPr>
          <w:b/>
          <w:bCs/>
          <w:sz w:val="28"/>
          <w:szCs w:val="28"/>
        </w:rPr>
      </w:pPr>
      <w:bookmarkStart w:id="0" w:name="_Hlk5007291"/>
      <w:r>
        <w:rPr>
          <w:rFonts w:eastAsia="Times New Roman"/>
          <w:b/>
          <w:bCs/>
          <w:sz w:val="28"/>
          <w:szCs w:val="28"/>
        </w:rPr>
        <w:t>проведения жеребьевки по распределению между зарегистрированными кандидатами печатной площади для публикации предвыборных агитационных материалов в муниципальном периодическом печатном издани</w:t>
      </w:r>
      <w:r>
        <w:rPr>
          <w:rFonts w:eastAsia="Times New Roman"/>
          <w:b/>
          <w:bCs/>
          <w:sz w:val="28"/>
          <w:szCs w:val="28"/>
        </w:rPr>
        <w:t>и</w:t>
      </w:r>
      <w:r>
        <w:rPr>
          <w:rFonts w:eastAsia="Times New Roman"/>
          <w:b/>
          <w:bCs/>
          <w:sz w:val="28"/>
          <w:szCs w:val="28"/>
        </w:rPr>
        <w:t xml:space="preserve"> при проведении выборов </w:t>
      </w:r>
      <w:r>
        <w:rPr>
          <w:b/>
          <w:bCs/>
          <w:sz w:val="28"/>
          <w:szCs w:val="28"/>
        </w:rPr>
        <w:t>депутатов Совета депутатов ЗАТО город Заозерск Мурманской области шестого созыва</w:t>
      </w:r>
    </w:p>
    <w:bookmarkEnd w:id="0"/>
    <w:p w14:paraId="22B69AAE" w14:textId="77777777" w:rsidR="006C598C" w:rsidRDefault="006C598C" w:rsidP="006C598C">
      <w:pPr>
        <w:autoSpaceDE w:val="0"/>
        <w:autoSpaceDN w:val="0"/>
        <w:adjustRightInd w:val="0"/>
        <w:jc w:val="both"/>
        <w:rPr>
          <w:rFonts w:eastAsia="Times New Roman"/>
          <w:sz w:val="28"/>
          <w:szCs w:val="28"/>
        </w:rPr>
      </w:pPr>
    </w:p>
    <w:p w14:paraId="5258CC51"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Настоящим Порядком регулируется проведение жеребьевки по распределению между зарегистрированными кандидатами бесплатной и платной печатной площади для публикации предвыборных агитационных материалов в муниципальном периодическом печатном изда</w:t>
      </w:r>
      <w:bookmarkStart w:id="1" w:name="_GoBack"/>
      <w:bookmarkEnd w:id="1"/>
      <w:r>
        <w:rPr>
          <w:rFonts w:eastAsia="Times New Roman"/>
          <w:sz w:val="28"/>
          <w:szCs w:val="28"/>
        </w:rPr>
        <w:t xml:space="preserve">нии в соответствии со статьями 32, 34 </w:t>
      </w:r>
      <w:r>
        <w:rPr>
          <w:sz w:val="28"/>
          <w:szCs w:val="28"/>
        </w:rPr>
        <w:t xml:space="preserve">Закона Мурманской области от 09.03.2007 № 841-01-ЗМО «О выборах депутатов представительных органов муниципальных образований» (далее - Закон Мурманской области). </w:t>
      </w:r>
    </w:p>
    <w:p w14:paraId="33A327BA" w14:textId="77777777" w:rsidR="006C598C" w:rsidRDefault="006C598C" w:rsidP="006C598C">
      <w:pPr>
        <w:autoSpaceDE w:val="0"/>
        <w:autoSpaceDN w:val="0"/>
        <w:adjustRightInd w:val="0"/>
        <w:spacing w:before="240" w:after="240"/>
        <w:jc w:val="center"/>
        <w:rPr>
          <w:rFonts w:eastAsia="Times New Roman"/>
          <w:b/>
          <w:bCs/>
          <w:sz w:val="28"/>
          <w:szCs w:val="28"/>
        </w:rPr>
      </w:pPr>
      <w:r>
        <w:rPr>
          <w:rFonts w:eastAsia="Times New Roman"/>
          <w:b/>
          <w:bCs/>
          <w:sz w:val="28"/>
          <w:szCs w:val="28"/>
        </w:rPr>
        <w:t>1. Распределение бесплатной печатной площади</w:t>
      </w:r>
    </w:p>
    <w:p w14:paraId="1537DE6B"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1.1. Зарегистрированные кандидаты имеют право на предоставление им безвозмездно печатной площади в муниципальном периодическом печатном издании газета «Западная Лица», выходящем не реже одного раза в неделю, </w:t>
      </w:r>
      <w:r>
        <w:rPr>
          <w:rFonts w:eastAsia="Times New Roman"/>
          <w:bCs/>
          <w:sz w:val="28"/>
          <w:szCs w:val="28"/>
        </w:rPr>
        <w:t>на следующих условиях: равный объем предоставляемой печатной площади, одинаковое место на полосе, одинаковый размер шрифта и другие условия</w:t>
      </w:r>
      <w:r>
        <w:rPr>
          <w:rFonts w:eastAsia="Times New Roman"/>
          <w:sz w:val="28"/>
          <w:szCs w:val="28"/>
        </w:rPr>
        <w:t xml:space="preserve">. </w:t>
      </w:r>
    </w:p>
    <w:p w14:paraId="1B5C6C2A" w14:textId="77777777" w:rsidR="006C598C" w:rsidRDefault="006C598C" w:rsidP="006C598C">
      <w:pPr>
        <w:autoSpaceDE w:val="0"/>
        <w:autoSpaceDN w:val="0"/>
        <w:adjustRightInd w:val="0"/>
        <w:spacing w:line="360" w:lineRule="auto"/>
        <w:ind w:firstLine="709"/>
        <w:jc w:val="both"/>
        <w:rPr>
          <w:sz w:val="28"/>
          <w:szCs w:val="28"/>
        </w:rPr>
      </w:pPr>
      <w:r>
        <w:rPr>
          <w:rFonts w:eastAsia="Times New Roman"/>
          <w:sz w:val="28"/>
          <w:szCs w:val="28"/>
        </w:rPr>
        <w:t>1.2. О</w:t>
      </w:r>
      <w:r>
        <w:rPr>
          <w:sz w:val="28"/>
          <w:szCs w:val="28"/>
        </w:rPr>
        <w:t>бщий еженедельный минимальный объем бесплатной печатной площади, которую редакция муниципального периодического печатного издания предоставляет зарегистрированным кандидатам, должен составлять не менее 10 процентов от общего объема еженедельной печатной площади соответствующего издания в период, который начинается за 28 дней до дня голосования и прекращается в ноль часов дня, предшествующего дню голосования. Информация об общем объеме бесплатной печатной площади, которую такое периодическое печатное издание предоставляет для целей предвыборной агитации в течение указанного периода публикуется в данном издании не позднее чем через 30 дней после официального опубликования (публикации) решения о назначении выборов</w:t>
      </w:r>
      <w:r>
        <w:rPr>
          <w:rFonts w:eastAsia="Times New Roman"/>
          <w:sz w:val="28"/>
          <w:szCs w:val="28"/>
        </w:rPr>
        <w:t>.</w:t>
      </w:r>
    </w:p>
    <w:p w14:paraId="43AE5110"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lastRenderedPageBreak/>
        <w:t xml:space="preserve">1.3. Даты публикации предвыборных агитационных материалов зарегистрированных кандидатов, избирательных объединений, выдвинувших зарегистрированные списки кандидатов, на безвозмездной основе, определяются жеребьевкой, </w:t>
      </w:r>
      <w:proofErr w:type="spellStart"/>
      <w:r>
        <w:rPr>
          <w:rFonts w:eastAsia="Times New Roman"/>
          <w:sz w:val="28"/>
          <w:szCs w:val="28"/>
        </w:rPr>
        <w:t>проводящейся</w:t>
      </w:r>
      <w:proofErr w:type="spellEnd"/>
      <w:r>
        <w:rPr>
          <w:rFonts w:eastAsia="Times New Roman"/>
          <w:sz w:val="28"/>
          <w:szCs w:val="28"/>
        </w:rPr>
        <w:t xml:space="preserve"> по завершении регистрации кандидатов, но не позднее чем за 30 дней до дня голосования. Результаты жеребьевки оформляются протоколом.</w:t>
      </w:r>
    </w:p>
    <w:p w14:paraId="1168A96F"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1.4. Ж</w:t>
      </w:r>
      <w:r>
        <w:rPr>
          <w:sz w:val="28"/>
          <w:szCs w:val="28"/>
        </w:rPr>
        <w:t xml:space="preserve">еребьевка по распределению бесплатной печатной площади проводится редакцией муниципального периодического печатного издания самостоятельно с участием заинтересованных лиц. </w:t>
      </w:r>
      <w:r>
        <w:rPr>
          <w:rFonts w:eastAsia="Times New Roman"/>
          <w:sz w:val="28"/>
          <w:szCs w:val="28"/>
        </w:rPr>
        <w:t xml:space="preserve">Подготовка помещения к жеребьевке и необходимой для проведения жеребьевки документации возлагается на соответствующую редакцию муниципального периодического печатного издания. </w:t>
      </w:r>
      <w:r>
        <w:rPr>
          <w:sz w:val="28"/>
          <w:szCs w:val="28"/>
        </w:rPr>
        <w:t>При проведении жеребьевки вправе присутствовать члены Заозерской территориальной избирательной комиссии и работники ее аппарата, члены вышестоящих избирательных комиссий и работники их аппарата, зарегистрированные кандидаты либо их уполномоченные представители по финансовым вопросам или доверенные лица, уполномоченные представители избирательных объединений.</w:t>
      </w:r>
    </w:p>
    <w:p w14:paraId="7738B9E6"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1.5.  О дате, времени и месте проведения жеребьевки </w:t>
      </w:r>
      <w:r>
        <w:rPr>
          <w:sz w:val="28"/>
          <w:szCs w:val="28"/>
        </w:rPr>
        <w:t xml:space="preserve">редакция муниципального периодического печатного издания </w:t>
      </w:r>
      <w:r>
        <w:rPr>
          <w:rFonts w:eastAsia="Times New Roman"/>
          <w:sz w:val="28"/>
          <w:szCs w:val="28"/>
        </w:rPr>
        <w:t xml:space="preserve">не позднее чем за два дня до проведения жеребьевки информируют через средства массовой информации или иным способом Заозерскую территориальную избирательную комиссию, зарегистрированных кандидатов. Указанная информация также размещается на информационном стенде в Заозерской территориальной избирательной комиссии. </w:t>
      </w:r>
    </w:p>
    <w:p w14:paraId="56409DB2"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1.6. Зарегистрированным кандидатам после окончания периода регистрации рекомендуется не позднее чем за 3 дня до дня проведения жеребьевки представить в соответствующую редакцию СМИ письменную заявку на участие в жеребьевке по распределению бесплатной печатной площади, а в случае отсутствия возможности принять личное участие, указать сведения о лице, уполномоченном принимать участие в жеребьевке. Однако </w:t>
      </w:r>
      <w:r>
        <w:rPr>
          <w:rFonts w:eastAsia="Times New Roman"/>
          <w:sz w:val="28"/>
          <w:szCs w:val="28"/>
        </w:rPr>
        <w:lastRenderedPageBreak/>
        <w:t>отсутствие указанной заявки не лишает зарегистрированного кандидата, избирательное объединение права на получение бесплатной печатной площади и не является отказом от такого получения.</w:t>
      </w:r>
    </w:p>
    <w:p w14:paraId="07EE9A4C"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1.7. </w:t>
      </w:r>
      <w:r>
        <w:rPr>
          <w:sz w:val="28"/>
          <w:szCs w:val="28"/>
        </w:rPr>
        <w:t>Общий объем бесплатной печатной площади, предоставляемый редакцией периодического печатного издания, распределяется между зарегистрированными кандидатами путем деления общего объема выделяемой печатной площади на общее число зарегистрированных кандидатов имеющих право на бесплатную печатную площадь в данном периодическом печатном</w:t>
      </w:r>
      <w:r>
        <w:rPr>
          <w:rFonts w:eastAsia="Times New Roman"/>
          <w:sz w:val="28"/>
          <w:szCs w:val="28"/>
        </w:rPr>
        <w:t>.</w:t>
      </w:r>
    </w:p>
    <w:p w14:paraId="67A206E9"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1.8. Кандидат как до, так и после регистрации, вправе отказаться от получения бесплатной печатной площади полностью или частично, письменно уведомив об этом соответствующую редакцию средства массовой информации.</w:t>
      </w:r>
    </w:p>
    <w:p w14:paraId="4DF0066A"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1.9. После окончания регистрации кандидатов избирательная комиссия, организующая выборы, информирует редакцию муниципального периодического печатного издания о количестве зарегистрированных кандидатов, среди которых должна быть распределена бесплатная печатная площадь.</w:t>
      </w:r>
      <w:r>
        <w:rPr>
          <w:rFonts w:eastAsia="Times New Roman"/>
          <w:bCs/>
          <w:sz w:val="20"/>
          <w:szCs w:val="28"/>
        </w:rPr>
        <w:t xml:space="preserve"> </w:t>
      </w:r>
      <w:r>
        <w:rPr>
          <w:rFonts w:eastAsia="Times New Roman"/>
          <w:bCs/>
          <w:sz w:val="28"/>
          <w:szCs w:val="28"/>
        </w:rPr>
        <w:t>Редакция печатных изданий</w:t>
      </w:r>
      <w:r>
        <w:rPr>
          <w:rFonts w:eastAsia="Times New Roman"/>
          <w:sz w:val="28"/>
          <w:szCs w:val="28"/>
        </w:rPr>
        <w:t xml:space="preserve"> заблаговременно информирует зарегистрированных кандидатов, уполномоченных представителей избирательных объединений о дате, времени и месте проведения жеребьевки.</w:t>
      </w:r>
    </w:p>
    <w:p w14:paraId="0C32EE52"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1.10.</w:t>
      </w:r>
      <w:r>
        <w:rPr>
          <w:rFonts w:eastAsia="Times New Roman"/>
          <w:b/>
          <w:bCs/>
          <w:sz w:val="28"/>
          <w:szCs w:val="28"/>
        </w:rPr>
        <w:t> </w:t>
      </w:r>
      <w:r>
        <w:rPr>
          <w:rFonts w:eastAsia="Times New Roman"/>
          <w:sz w:val="28"/>
          <w:szCs w:val="28"/>
        </w:rPr>
        <w:t>В жеребьевке участвуют зарегистрированные кандидаты или лица, уполномоченные зарегистрированными кандидатами участвовать в жеребьевке. Полномочия могут быть подтверждены телеграммой, иным документом, подписанным зарегистрированным кандидатом. В случае отсутствия при проведении жеребьевки зарегистрированного кандидата, представителя зарегистрированного кандидата, в жеребьевке в интересах зарегистрированного кандидата, избирательного объединения принимает участие представитель редакции соответствующего печатного издания.</w:t>
      </w:r>
      <w:r>
        <w:rPr>
          <w:rFonts w:eastAsia="Times New Roman"/>
          <w:sz w:val="20"/>
          <w:szCs w:val="28"/>
        </w:rPr>
        <w:t xml:space="preserve"> </w:t>
      </w:r>
      <w:r>
        <w:rPr>
          <w:rFonts w:eastAsia="Times New Roman"/>
          <w:sz w:val="28"/>
          <w:szCs w:val="28"/>
        </w:rPr>
        <w:t xml:space="preserve">Печатная площадь распределяется между всеми зарегистрированными </w:t>
      </w:r>
      <w:r>
        <w:rPr>
          <w:rFonts w:eastAsia="Times New Roman"/>
          <w:sz w:val="28"/>
          <w:szCs w:val="28"/>
        </w:rPr>
        <w:lastRenderedPageBreak/>
        <w:t>кандидатами, избирательными объединениями,</w:t>
      </w:r>
      <w:r>
        <w:rPr>
          <w:rFonts w:eastAsia="Times New Roman"/>
          <w:bCs/>
          <w:sz w:val="28"/>
          <w:szCs w:val="28"/>
        </w:rPr>
        <w:t xml:space="preserve"> зарегистрировавшими списки </w:t>
      </w:r>
      <w:proofErr w:type="gramStart"/>
      <w:r>
        <w:rPr>
          <w:rFonts w:eastAsia="Times New Roman"/>
          <w:bCs/>
          <w:sz w:val="28"/>
          <w:szCs w:val="28"/>
        </w:rPr>
        <w:t xml:space="preserve">кандидатов, </w:t>
      </w:r>
      <w:r>
        <w:rPr>
          <w:rFonts w:eastAsia="Times New Roman"/>
          <w:sz w:val="28"/>
          <w:szCs w:val="28"/>
        </w:rPr>
        <w:t xml:space="preserve"> за</w:t>
      </w:r>
      <w:proofErr w:type="gramEnd"/>
      <w:r>
        <w:rPr>
          <w:rFonts w:eastAsia="Times New Roman"/>
          <w:sz w:val="28"/>
          <w:szCs w:val="28"/>
        </w:rPr>
        <w:t xml:space="preserve"> исключением отказавшихся от ее получения.</w:t>
      </w:r>
    </w:p>
    <w:p w14:paraId="18ED8327"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1.11. В соответствии с пунктом 4 статьи 34 и пунктом 4 статьи 14 Закона Мурманской области при проведении жеребьевки имеют право присутствовать: </w:t>
      </w:r>
    </w:p>
    <w:p w14:paraId="6ACD2DF5" w14:textId="77777777" w:rsidR="006C598C" w:rsidRDefault="006C598C" w:rsidP="006C598C">
      <w:pPr>
        <w:autoSpaceDE w:val="0"/>
        <w:autoSpaceDN w:val="0"/>
        <w:adjustRightInd w:val="0"/>
        <w:spacing w:line="360" w:lineRule="auto"/>
        <w:ind w:firstLine="540"/>
        <w:jc w:val="both"/>
        <w:rPr>
          <w:sz w:val="28"/>
          <w:szCs w:val="28"/>
        </w:rPr>
      </w:pPr>
      <w:r>
        <w:rPr>
          <w:sz w:val="28"/>
          <w:szCs w:val="28"/>
        </w:rPr>
        <w:t>-</w:t>
      </w:r>
      <w:r>
        <w:rPr>
          <w:sz w:val="28"/>
          <w:szCs w:val="28"/>
          <w:lang w:val="en-US"/>
        </w:rPr>
        <w:t> </w:t>
      </w:r>
      <w:r>
        <w:rPr>
          <w:sz w:val="28"/>
          <w:szCs w:val="28"/>
        </w:rPr>
        <w:t>члены Заозерской территориальной избирательной комиссии, и работники ее аппарата;</w:t>
      </w:r>
    </w:p>
    <w:p w14:paraId="5C68F215" w14:textId="77777777" w:rsidR="006C598C" w:rsidRDefault="006C598C" w:rsidP="006C598C">
      <w:pPr>
        <w:autoSpaceDE w:val="0"/>
        <w:autoSpaceDN w:val="0"/>
        <w:adjustRightInd w:val="0"/>
        <w:spacing w:line="360" w:lineRule="auto"/>
        <w:ind w:firstLine="540"/>
        <w:jc w:val="both"/>
        <w:rPr>
          <w:sz w:val="28"/>
          <w:szCs w:val="28"/>
        </w:rPr>
      </w:pPr>
      <w:r>
        <w:rPr>
          <w:sz w:val="28"/>
          <w:szCs w:val="28"/>
        </w:rPr>
        <w:t xml:space="preserve"> -</w:t>
      </w:r>
      <w:r>
        <w:rPr>
          <w:sz w:val="28"/>
          <w:szCs w:val="28"/>
          <w:lang w:val="en-US"/>
        </w:rPr>
        <w:t> </w:t>
      </w:r>
      <w:r>
        <w:rPr>
          <w:sz w:val="28"/>
          <w:szCs w:val="28"/>
        </w:rPr>
        <w:t xml:space="preserve">члены вышестоящих избирательных комиссий и работники их аппаратов; </w:t>
      </w:r>
    </w:p>
    <w:p w14:paraId="411C06FD" w14:textId="77777777" w:rsidR="006C598C" w:rsidRDefault="006C598C" w:rsidP="006C598C">
      <w:pPr>
        <w:autoSpaceDE w:val="0"/>
        <w:autoSpaceDN w:val="0"/>
        <w:adjustRightInd w:val="0"/>
        <w:spacing w:line="360" w:lineRule="auto"/>
        <w:ind w:firstLine="540"/>
        <w:jc w:val="both"/>
        <w:rPr>
          <w:sz w:val="28"/>
          <w:szCs w:val="28"/>
        </w:rPr>
      </w:pPr>
      <w:r>
        <w:rPr>
          <w:sz w:val="28"/>
          <w:szCs w:val="28"/>
        </w:rPr>
        <w:t>-</w:t>
      </w:r>
      <w:r>
        <w:rPr>
          <w:sz w:val="28"/>
          <w:szCs w:val="28"/>
          <w:lang w:val="en-US"/>
        </w:rPr>
        <w:t> </w:t>
      </w:r>
      <w:r>
        <w:rPr>
          <w:sz w:val="28"/>
          <w:szCs w:val="28"/>
        </w:rPr>
        <w:t xml:space="preserve">зарегистрированные кандидаты либо их уполномоченные представители по финансовым вопросам или доверенные лица; </w:t>
      </w:r>
    </w:p>
    <w:p w14:paraId="6B44FF4F" w14:textId="77777777" w:rsidR="006C598C" w:rsidRDefault="006C598C" w:rsidP="006C598C">
      <w:pPr>
        <w:autoSpaceDE w:val="0"/>
        <w:autoSpaceDN w:val="0"/>
        <w:adjustRightInd w:val="0"/>
        <w:spacing w:line="360" w:lineRule="auto"/>
        <w:ind w:firstLine="540"/>
        <w:jc w:val="both"/>
        <w:rPr>
          <w:sz w:val="28"/>
          <w:szCs w:val="28"/>
        </w:rPr>
      </w:pPr>
      <w:r>
        <w:rPr>
          <w:sz w:val="28"/>
          <w:szCs w:val="28"/>
        </w:rPr>
        <w:t>-</w:t>
      </w:r>
      <w:r>
        <w:rPr>
          <w:sz w:val="28"/>
          <w:szCs w:val="28"/>
          <w:lang w:val="en-US"/>
        </w:rPr>
        <w:t> </w:t>
      </w:r>
      <w:r>
        <w:rPr>
          <w:sz w:val="28"/>
          <w:szCs w:val="28"/>
        </w:rPr>
        <w:t>уполномоченные представители или доверенные лица избирательных объединений;</w:t>
      </w:r>
    </w:p>
    <w:p w14:paraId="51036D03"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1.12. </w:t>
      </w:r>
      <w:r>
        <w:rPr>
          <w:sz w:val="28"/>
          <w:szCs w:val="28"/>
        </w:rPr>
        <w:t xml:space="preserve">Подготовка помещения и необходимой документации для проведения жеребьевки возлагается на соответствующую редакцию </w:t>
      </w:r>
      <w:r>
        <w:rPr>
          <w:bCs/>
          <w:sz w:val="28"/>
          <w:szCs w:val="28"/>
        </w:rPr>
        <w:t>печатного издания</w:t>
      </w:r>
      <w:r>
        <w:rPr>
          <w:sz w:val="28"/>
          <w:szCs w:val="28"/>
        </w:rPr>
        <w:t xml:space="preserve">. Сначала проводится жеребьевка между кандидатами, затем между избирательными объединениями. </w:t>
      </w:r>
      <w:r>
        <w:rPr>
          <w:rFonts w:eastAsia="Times New Roman"/>
          <w:sz w:val="28"/>
          <w:szCs w:val="28"/>
        </w:rPr>
        <w:t xml:space="preserve">Жеребьевка по распределению печатной площади среди зарегистрированных кандидатов проводится в последовательности, соответствующей хронологическому порядку их регистрации. </w:t>
      </w:r>
    </w:p>
    <w:p w14:paraId="0B79FAEA"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1.13. До начала проведения жеребьевки представитель редакции муниципального периодического печатного издания представляет на всеобщее обозрение конверты для жеребьевки с отметкой наименования периодического печатного издания, в которые должны быть вложены листы с информацией о дате и номере выпуска периодического печатного издания, а также об иных условиях (номере страницы и месте публикации агитационного материала). Указанные условия оглашаются представителем редакции муниципального периодического печатного издания.</w:t>
      </w:r>
    </w:p>
    <w:p w14:paraId="619B88EB"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lastRenderedPageBreak/>
        <w:t xml:space="preserve">1.14. Печатная площадь распределяется путем жеребьевки таким образом, чтобы каждый из участников получил равный с другими участниками объем печатной площади. </w:t>
      </w:r>
    </w:p>
    <w:p w14:paraId="26E09C21"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1.15. Каждый из участников распределения печатной площади выбирает конверты, указанные в пункте 1.13 настоящего Порядка. Содержащиеся в конвертах сведения оглашаются и вносятся представителем редакции в Протокол жеребьевки по распределению между зарегистрированными кандидатами бесплатной печатной площади для публикации предвыборных агитационных материалов в муниципальном периодическом печатном издании </w:t>
      </w:r>
      <w:r>
        <w:rPr>
          <w:sz w:val="28"/>
          <w:szCs w:val="28"/>
        </w:rPr>
        <w:t>(форма приводится в приложении № 1).</w:t>
      </w:r>
      <w:r>
        <w:t xml:space="preserve"> </w:t>
      </w:r>
      <w:r>
        <w:rPr>
          <w:rFonts w:eastAsia="Times New Roman"/>
          <w:sz w:val="28"/>
          <w:szCs w:val="28"/>
        </w:rPr>
        <w:t>В соответствующие графы протокола вносятся фамилия и инициалы лица, участвующего в жеребьевке, и ставится его подпись. Протокол о распределении печатной площади подписывают два или более представителя редакции муниципального периодического печатного издания, а в случае присутствия при проведении жеребьевки, представитель Заозерской территориальной избирательной комиссии.</w:t>
      </w:r>
    </w:p>
    <w:p w14:paraId="11D26207"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1.16.  Информация о датах публикации предвыборных агитационных материалов каждого зарегистрированного кандидата, содержащаяся в протоколе, размещается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информационно-телекоммуникационной сети «Интернет». Также указанная информация размещается на информационном стенде в помещении Заозерской территориальной избирательной комиссии.</w:t>
      </w:r>
    </w:p>
    <w:p w14:paraId="4F075752" w14:textId="77777777" w:rsidR="006C598C" w:rsidRDefault="006C598C" w:rsidP="006C598C">
      <w:pPr>
        <w:autoSpaceDE w:val="0"/>
        <w:autoSpaceDN w:val="0"/>
        <w:adjustRightInd w:val="0"/>
        <w:spacing w:line="360" w:lineRule="auto"/>
        <w:ind w:firstLine="709"/>
        <w:jc w:val="both"/>
        <w:rPr>
          <w:rFonts w:eastAsia="Times New Roman"/>
          <w:bCs/>
          <w:sz w:val="28"/>
          <w:szCs w:val="28"/>
        </w:rPr>
      </w:pPr>
      <w:r>
        <w:rPr>
          <w:rFonts w:eastAsia="Times New Roman"/>
          <w:sz w:val="28"/>
          <w:szCs w:val="28"/>
        </w:rPr>
        <w:t xml:space="preserve">1.17. Если зарегистрированный кандидат, уполномоченный представитель избирательного объединения после проведения жеребьевки откажется от использования печатной площади, он обязан не позднее чем за пять дней до дня опубликования предвыборного агитационного материала, а в случае, если публикация агитационного материала должна состояться менее чем через пять дней после проведения соответствующей жеребьевки, - в день </w:t>
      </w:r>
      <w:r>
        <w:rPr>
          <w:rFonts w:eastAsia="Times New Roman"/>
          <w:sz w:val="28"/>
          <w:szCs w:val="28"/>
        </w:rPr>
        <w:lastRenderedPageBreak/>
        <w:t>жеребьевки, сообщить об этом соответствующей редакции печатного издания, которая вправе использовать высвободившуюся печатную площадь по своему усмотрению.</w:t>
      </w:r>
    </w:p>
    <w:p w14:paraId="67ADC824" w14:textId="77777777" w:rsidR="006C598C" w:rsidRDefault="006C598C" w:rsidP="006C598C">
      <w:pPr>
        <w:autoSpaceDE w:val="0"/>
        <w:autoSpaceDN w:val="0"/>
        <w:adjustRightInd w:val="0"/>
        <w:jc w:val="center"/>
        <w:rPr>
          <w:rFonts w:eastAsia="Times New Roman"/>
          <w:b/>
          <w:bCs/>
          <w:sz w:val="28"/>
          <w:szCs w:val="28"/>
        </w:rPr>
      </w:pPr>
      <w:r>
        <w:rPr>
          <w:rFonts w:eastAsia="Times New Roman"/>
          <w:b/>
          <w:bCs/>
          <w:sz w:val="28"/>
          <w:szCs w:val="28"/>
        </w:rPr>
        <w:t>2. </w:t>
      </w:r>
      <w:r>
        <w:rPr>
          <w:b/>
          <w:bCs/>
          <w:sz w:val="28"/>
          <w:szCs w:val="28"/>
        </w:rPr>
        <w:t xml:space="preserve">Распределение </w:t>
      </w:r>
      <w:proofErr w:type="gramStart"/>
      <w:r>
        <w:rPr>
          <w:b/>
          <w:bCs/>
          <w:sz w:val="28"/>
          <w:szCs w:val="28"/>
        </w:rPr>
        <w:t>платной  печатной</w:t>
      </w:r>
      <w:proofErr w:type="gramEnd"/>
      <w:r>
        <w:rPr>
          <w:b/>
          <w:bCs/>
          <w:sz w:val="28"/>
          <w:szCs w:val="28"/>
        </w:rPr>
        <w:t xml:space="preserve"> площади, предоставляемой в муниципальных периодических печатных изданиях для публикации предвыборных агитационных материалов</w:t>
      </w:r>
    </w:p>
    <w:p w14:paraId="10E407BD" w14:textId="77777777" w:rsidR="006C598C" w:rsidRDefault="006C598C" w:rsidP="006C598C">
      <w:pPr>
        <w:autoSpaceDE w:val="0"/>
        <w:autoSpaceDN w:val="0"/>
        <w:adjustRightInd w:val="0"/>
        <w:jc w:val="center"/>
        <w:rPr>
          <w:rFonts w:eastAsia="Times New Roman"/>
          <w:b/>
          <w:bCs/>
          <w:sz w:val="28"/>
          <w:szCs w:val="28"/>
        </w:rPr>
      </w:pPr>
    </w:p>
    <w:p w14:paraId="17099E67"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2.1. Р</w:t>
      </w:r>
      <w:r>
        <w:rPr>
          <w:sz w:val="28"/>
          <w:szCs w:val="28"/>
          <w:shd w:val="clear" w:color="auto" w:fill="FFFFFF"/>
        </w:rPr>
        <w:t>едакции муниципальных периодических печатных изданий, выходящих не реже одного раза в неделю, обязаны резервировать печатную площадь для проведения предвыборной агитации за плату.</w:t>
      </w:r>
      <w:r>
        <w:rPr>
          <w:rFonts w:eastAsia="Times New Roman"/>
          <w:sz w:val="28"/>
          <w:szCs w:val="28"/>
        </w:rPr>
        <w:t xml:space="preserve"> Общий объем платной печатной площади, резервируемой редакцией муниципального периодического печатного издания, не может быть меньше общего объема бесплатной печатной площади, предоставляемой в соответствии с пунктом 2 статьи 34 Закона Мурманской области, но при этом не должен превышать его более чем в два раза. (пункт 5 статьи 34 Закона Мурманской области).</w:t>
      </w:r>
    </w:p>
    <w:p w14:paraId="670E867E"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  2.2. Каждый </w:t>
      </w:r>
      <w:r>
        <w:rPr>
          <w:sz w:val="28"/>
          <w:szCs w:val="28"/>
        </w:rPr>
        <w:t xml:space="preserve">зарегистрированный кандидат, вправе за соответствующую плату получить из общего объема зарезервированной печатной площади печатную площадь в пределах доли, полученной в результате деления этого объема на число зарегистрированных кандидатов. </w:t>
      </w:r>
    </w:p>
    <w:p w14:paraId="334A8F01"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2.3. Жеребьевка по распределению платной печатной площади проводится в том же порядке и на тех же условиях, что и жеребьевка по распределению бесплатной печатной площади, но со следующими особенностями.</w:t>
      </w:r>
    </w:p>
    <w:p w14:paraId="4E5CDD2C"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2.4. Жеребьевка по распределению платной печатной площади проводится соответствующей редакцией муниципального периодического печатного издания или ее представителями самостоятельно, на основании письменных заявок на участие в жеребьевке, поданных зарегистрированными кандидатами и представителями избирательных объединений в редакцию муниципального периодического печатного издания. </w:t>
      </w:r>
    </w:p>
    <w:p w14:paraId="5B9DC995"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lastRenderedPageBreak/>
        <w:t>2.5. Протокол жеребьевки по распределению платной печатной площади подписывают два или более представителя редакции муниципального периодического печатного издания (</w:t>
      </w:r>
      <w:r>
        <w:rPr>
          <w:sz w:val="28"/>
          <w:szCs w:val="28"/>
        </w:rPr>
        <w:t>форма приводится в приложении № 1</w:t>
      </w:r>
      <w:r>
        <w:rPr>
          <w:rFonts w:eastAsia="Times New Roman"/>
          <w:sz w:val="28"/>
          <w:szCs w:val="28"/>
        </w:rPr>
        <w:t>).</w:t>
      </w:r>
    </w:p>
    <w:p w14:paraId="4F4B48D9"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2.6. Информация о датах выхода предвыборных агитационных материалов каждого зарегистрированного кандидата, избирательного объединения содержащаяся в протоколе, указанном в пункте 2.5 настоящего Порядка, публикуется в соответствующем периодическом печатном издании и (или) в информационно-телекоммуникационной сети «Интернет» и направляется редакциями муниципальных периодических печатных изданий в Заозерскую территориальную избирательную комиссию. Указанная информация размещается на информационном стенде в помещении Заозерской территориальной избирательной комиссии.</w:t>
      </w:r>
    </w:p>
    <w:p w14:paraId="16368001"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 xml:space="preserve">2.7.  Если после распределения платной печатной площади </w:t>
      </w:r>
      <w:r>
        <w:rPr>
          <w:sz w:val="28"/>
          <w:szCs w:val="28"/>
        </w:rPr>
        <w:t>останется нераспределенная печатная площадь, она может быть предоставлена за плату зарегистрированным кандидатам, подавшим заявку на предоставление такой печатной площади, на равных условиях (</w:t>
      </w:r>
      <w:r>
        <w:rPr>
          <w:rFonts w:eastAsia="Times New Roman"/>
          <w:sz w:val="28"/>
          <w:szCs w:val="28"/>
        </w:rPr>
        <w:t>пункт 5 статьи 34 Закона Мурманской области).</w:t>
      </w:r>
    </w:p>
    <w:p w14:paraId="43D971AB" w14:textId="77777777" w:rsidR="006C598C" w:rsidRDefault="006C598C" w:rsidP="006C598C">
      <w:pPr>
        <w:autoSpaceDE w:val="0"/>
        <w:autoSpaceDN w:val="0"/>
        <w:adjustRightInd w:val="0"/>
        <w:spacing w:line="360" w:lineRule="auto"/>
        <w:ind w:firstLine="709"/>
        <w:jc w:val="both"/>
        <w:rPr>
          <w:rFonts w:eastAsia="Times New Roman"/>
          <w:sz w:val="28"/>
          <w:szCs w:val="28"/>
        </w:rPr>
      </w:pPr>
      <w:r>
        <w:rPr>
          <w:rFonts w:eastAsia="Times New Roman"/>
          <w:sz w:val="28"/>
          <w:szCs w:val="28"/>
        </w:rPr>
        <w:t>2.8. Платежный документ филиалу Сберегательного банка Российской Федерации о перечислении в полном объеме средств в оплату стоимости печатной площади должен быть представлен зарегистрированным кандидатом не позднее чем за два дня до дня опубликования предвыборного агитационного материала. Копия платежного документа с отметкой филиала Сберегательного банка Российской Федерации должна быть представлена зарегистрированным кандидатом в редакцию периодического печатного издания до предоставления печатной площади. В случае нарушения этого условия предоставление печатной площади не допускается.</w:t>
      </w:r>
    </w:p>
    <w:p w14:paraId="07EA75A8" w14:textId="77777777" w:rsidR="006C598C" w:rsidRDefault="006C598C" w:rsidP="006C598C">
      <w:pPr>
        <w:autoSpaceDE w:val="0"/>
        <w:autoSpaceDN w:val="0"/>
        <w:adjustRightInd w:val="0"/>
        <w:spacing w:line="360" w:lineRule="auto"/>
        <w:ind w:firstLine="709"/>
        <w:jc w:val="both"/>
        <w:rPr>
          <w:rFonts w:eastAsia="Times New Roman"/>
          <w:sz w:val="28"/>
          <w:szCs w:val="28"/>
        </w:rPr>
      </w:pPr>
    </w:p>
    <w:p w14:paraId="48B05AEA" w14:textId="77777777" w:rsidR="006C598C" w:rsidRDefault="006C598C" w:rsidP="006C598C">
      <w:pPr>
        <w:spacing w:line="360" w:lineRule="auto"/>
        <w:rPr>
          <w:rFonts w:eastAsia="Times New Roman"/>
          <w:sz w:val="28"/>
          <w:szCs w:val="28"/>
        </w:rPr>
        <w:sectPr w:rsidR="006C598C">
          <w:pgSz w:w="11906" w:h="16838"/>
          <w:pgMar w:top="1134" w:right="850" w:bottom="1134" w:left="1701" w:header="709" w:footer="709" w:gutter="0"/>
          <w:pgNumType w:start="1"/>
          <w:cols w:space="720"/>
        </w:sectPr>
      </w:pPr>
    </w:p>
    <w:p w14:paraId="309C9548" w14:textId="77777777" w:rsidR="006C598C" w:rsidRDefault="006C598C" w:rsidP="006C598C">
      <w:pPr>
        <w:ind w:left="7020" w:firstLine="9"/>
        <w:jc w:val="right"/>
        <w:rPr>
          <w:rFonts w:eastAsia="Times New Roman"/>
          <w:sz w:val="22"/>
          <w:szCs w:val="22"/>
        </w:rPr>
      </w:pPr>
      <w:r>
        <w:rPr>
          <w:rFonts w:eastAsia="Times New Roman"/>
          <w:sz w:val="22"/>
          <w:szCs w:val="22"/>
        </w:rPr>
        <w:lastRenderedPageBreak/>
        <w:t>Приложение №1</w:t>
      </w:r>
      <w:r>
        <w:rPr>
          <w:rFonts w:eastAsia="Times New Roman"/>
          <w:sz w:val="22"/>
          <w:szCs w:val="22"/>
        </w:rPr>
        <w:br/>
        <w:t>к порядку проведения жеребьевки по распределению между зарегистрированными кандидатами печатной площади для публикации предвыборных агитационных материалов в муниципальном периодическом печатном издании при проведении выборов депутатов Совета депутатов ЗАТО город Заозерск Мурманской области шестого созыва</w:t>
      </w:r>
    </w:p>
    <w:p w14:paraId="0217AF92" w14:textId="77777777" w:rsidR="006C598C" w:rsidRDefault="006C598C" w:rsidP="006C598C">
      <w:pPr>
        <w:rPr>
          <w:rFonts w:eastAsia="Times New Roman"/>
          <w:sz w:val="22"/>
          <w:szCs w:val="22"/>
        </w:rPr>
      </w:pPr>
    </w:p>
    <w:p w14:paraId="61B7214B" w14:textId="77777777" w:rsidR="006C598C" w:rsidRDefault="006C598C" w:rsidP="006C598C">
      <w:pPr>
        <w:rPr>
          <w:rFonts w:eastAsia="Times New Roman"/>
          <w:b/>
          <w:bCs/>
        </w:rPr>
      </w:pPr>
      <w:r>
        <w:rPr>
          <w:rFonts w:eastAsia="Times New Roman"/>
          <w:b/>
          <w:bCs/>
        </w:rPr>
        <w:t xml:space="preserve">                                 Протокол жеребьевки по распределению между зарегистрированными кандидатами на выборах</w:t>
      </w:r>
    </w:p>
    <w:p w14:paraId="49852F5C" w14:textId="77777777" w:rsidR="006C598C" w:rsidRDefault="006C598C" w:rsidP="006C598C">
      <w:pPr>
        <w:ind w:right="-598"/>
        <w:jc w:val="center"/>
        <w:rPr>
          <w:rFonts w:eastAsia="Times New Roman"/>
          <w:b/>
          <w:bCs/>
          <w:sz w:val="20"/>
          <w:szCs w:val="20"/>
        </w:rPr>
      </w:pPr>
      <w:r>
        <w:rPr>
          <w:rFonts w:eastAsia="Times New Roman"/>
          <w:b/>
          <w:bCs/>
          <w:sz w:val="22"/>
          <w:szCs w:val="22"/>
        </w:rPr>
        <w:t>депутатов Совета депутатов ЗАТО город Заозерск Мурманской области шестого созыва</w:t>
      </w:r>
    </w:p>
    <w:p w14:paraId="1576C998" w14:textId="77777777" w:rsidR="006C598C" w:rsidRDefault="006C598C" w:rsidP="006C598C">
      <w:pPr>
        <w:pBdr>
          <w:top w:val="single" w:sz="4" w:space="1" w:color="auto"/>
        </w:pBdr>
        <w:ind w:left="2268" w:right="2268"/>
        <w:jc w:val="center"/>
        <w:rPr>
          <w:rFonts w:eastAsia="Times New Roman"/>
          <w:vertAlign w:val="superscript"/>
        </w:rPr>
      </w:pPr>
      <w:r>
        <w:rPr>
          <w:rFonts w:eastAsia="Times New Roman"/>
          <w:vertAlign w:val="superscript"/>
        </w:rPr>
        <w:t>(наименование избирательной кампании)</w:t>
      </w:r>
    </w:p>
    <w:p w14:paraId="092098A6" w14:textId="77777777" w:rsidR="006C598C" w:rsidRDefault="006C598C" w:rsidP="006C598C">
      <w:pPr>
        <w:pBdr>
          <w:top w:val="single" w:sz="4" w:space="1" w:color="auto"/>
        </w:pBdr>
        <w:ind w:left="2268" w:right="2268"/>
        <w:jc w:val="center"/>
        <w:rPr>
          <w:rFonts w:eastAsia="Times New Roman"/>
          <w:vertAlign w:val="superscript"/>
        </w:rPr>
      </w:pPr>
      <w:r>
        <w:rPr>
          <w:rFonts w:eastAsia="Times New Roman"/>
          <w:b/>
          <w:bCs/>
        </w:rPr>
        <w:t>бесплатной (платной) печатной площади для публикации предвыборных агитационных материалов в муниципальном периодическом печатном издании</w:t>
      </w:r>
    </w:p>
    <w:p w14:paraId="428CD645" w14:textId="77777777" w:rsidR="006C598C" w:rsidRDefault="006C598C" w:rsidP="006C598C">
      <w:pPr>
        <w:ind w:right="2268"/>
        <w:jc w:val="center"/>
        <w:rPr>
          <w:rFonts w:eastAsia="Times New Roman"/>
          <w:sz w:val="20"/>
          <w:szCs w:val="20"/>
        </w:rPr>
      </w:pPr>
    </w:p>
    <w:p w14:paraId="3004F739" w14:textId="77777777" w:rsidR="006C598C" w:rsidRDefault="006C598C" w:rsidP="006C598C">
      <w:pPr>
        <w:pBdr>
          <w:top w:val="single" w:sz="4" w:space="1" w:color="auto"/>
        </w:pBdr>
        <w:spacing w:after="120"/>
        <w:ind w:left="2268" w:right="2268"/>
        <w:jc w:val="center"/>
        <w:rPr>
          <w:rFonts w:eastAsia="Times New Roman"/>
          <w:vertAlign w:val="superscript"/>
        </w:rPr>
      </w:pPr>
      <w:r>
        <w:rPr>
          <w:rFonts w:eastAsia="Times New Roman"/>
          <w:vertAlign w:val="superscript"/>
        </w:rPr>
        <w:t>(наименование периодического печатного издания)</w:t>
      </w:r>
    </w:p>
    <w:tbl>
      <w:tblPr>
        <w:tblW w:w="1530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60"/>
        <w:gridCol w:w="4140"/>
        <w:gridCol w:w="3193"/>
        <w:gridCol w:w="4536"/>
        <w:gridCol w:w="3071"/>
      </w:tblGrid>
      <w:tr w:rsidR="006C598C" w14:paraId="3AF22E0C" w14:textId="77777777" w:rsidTr="006C598C">
        <w:trPr>
          <w:cantSplit/>
        </w:trPr>
        <w:tc>
          <w:tcPr>
            <w:tcW w:w="360" w:type="dxa"/>
            <w:tcBorders>
              <w:top w:val="single" w:sz="4" w:space="0" w:color="auto"/>
              <w:left w:val="single" w:sz="4" w:space="0" w:color="auto"/>
              <w:bottom w:val="single" w:sz="4" w:space="0" w:color="auto"/>
              <w:right w:val="single" w:sz="4" w:space="0" w:color="auto"/>
            </w:tcBorders>
            <w:hideMark/>
          </w:tcPr>
          <w:p w14:paraId="498D1D99" w14:textId="77777777" w:rsidR="006C598C" w:rsidRDefault="006C598C">
            <w:pPr>
              <w:jc w:val="center"/>
              <w:rPr>
                <w:rFonts w:eastAsia="Times New Roman"/>
                <w:sz w:val="18"/>
                <w:szCs w:val="18"/>
              </w:rPr>
            </w:pPr>
            <w:r>
              <w:rPr>
                <w:rFonts w:eastAsia="Times New Roman"/>
                <w:sz w:val="18"/>
                <w:szCs w:val="18"/>
              </w:rPr>
              <w:t>№ п/п</w:t>
            </w:r>
          </w:p>
        </w:tc>
        <w:tc>
          <w:tcPr>
            <w:tcW w:w="4140" w:type="dxa"/>
            <w:tcBorders>
              <w:top w:val="single" w:sz="4" w:space="0" w:color="auto"/>
              <w:left w:val="single" w:sz="4" w:space="0" w:color="auto"/>
              <w:bottom w:val="single" w:sz="4" w:space="0" w:color="auto"/>
              <w:right w:val="single" w:sz="4" w:space="0" w:color="auto"/>
            </w:tcBorders>
            <w:hideMark/>
          </w:tcPr>
          <w:p w14:paraId="45B552E5" w14:textId="77777777" w:rsidR="006C598C" w:rsidRDefault="006C598C">
            <w:pPr>
              <w:jc w:val="center"/>
              <w:rPr>
                <w:rFonts w:eastAsia="Times New Roman"/>
                <w:sz w:val="18"/>
                <w:szCs w:val="18"/>
              </w:rPr>
            </w:pPr>
            <w:r>
              <w:rPr>
                <w:rFonts w:eastAsia="Times New Roman"/>
                <w:sz w:val="18"/>
                <w:szCs w:val="18"/>
              </w:rPr>
              <w:t xml:space="preserve">Фамилия, имя, отчество </w:t>
            </w:r>
            <w:r>
              <w:rPr>
                <w:rFonts w:eastAsia="Times New Roman"/>
                <w:sz w:val="18"/>
                <w:szCs w:val="18"/>
              </w:rPr>
              <w:br/>
              <w:t xml:space="preserve">зарегистрированного кандидата </w:t>
            </w:r>
            <w:r>
              <w:rPr>
                <w:rFonts w:eastAsia="Times New Roman"/>
                <w:sz w:val="18"/>
                <w:szCs w:val="18"/>
              </w:rPr>
              <w:br/>
            </w:r>
          </w:p>
        </w:tc>
        <w:tc>
          <w:tcPr>
            <w:tcW w:w="3193" w:type="dxa"/>
            <w:tcBorders>
              <w:top w:val="single" w:sz="4" w:space="0" w:color="auto"/>
              <w:left w:val="single" w:sz="4" w:space="0" w:color="auto"/>
              <w:bottom w:val="single" w:sz="4" w:space="0" w:color="auto"/>
              <w:right w:val="single" w:sz="4" w:space="0" w:color="auto"/>
            </w:tcBorders>
            <w:hideMark/>
          </w:tcPr>
          <w:p w14:paraId="5839ECA3" w14:textId="77777777" w:rsidR="006C598C" w:rsidRDefault="006C598C">
            <w:pPr>
              <w:jc w:val="center"/>
              <w:rPr>
                <w:rFonts w:eastAsia="Times New Roman"/>
                <w:b/>
                <w:bCs/>
                <w:sz w:val="18"/>
                <w:szCs w:val="18"/>
              </w:rPr>
            </w:pPr>
            <w:r>
              <w:rPr>
                <w:rFonts w:eastAsia="Times New Roman"/>
                <w:sz w:val="18"/>
                <w:szCs w:val="18"/>
              </w:rPr>
              <w:t xml:space="preserve">Дата, номер страницы и место публикации предвыборных </w:t>
            </w:r>
            <w:proofErr w:type="gramStart"/>
            <w:r>
              <w:rPr>
                <w:rFonts w:eastAsia="Times New Roman"/>
                <w:sz w:val="18"/>
                <w:szCs w:val="18"/>
              </w:rPr>
              <w:t>агитационных  материалов</w:t>
            </w:r>
            <w:proofErr w:type="gramEnd"/>
          </w:p>
        </w:tc>
        <w:tc>
          <w:tcPr>
            <w:tcW w:w="4536" w:type="dxa"/>
            <w:tcBorders>
              <w:top w:val="single" w:sz="4" w:space="0" w:color="auto"/>
              <w:left w:val="single" w:sz="4" w:space="0" w:color="auto"/>
              <w:bottom w:val="single" w:sz="4" w:space="0" w:color="auto"/>
              <w:right w:val="single" w:sz="4" w:space="0" w:color="auto"/>
            </w:tcBorders>
            <w:hideMark/>
          </w:tcPr>
          <w:p w14:paraId="41381410" w14:textId="77777777" w:rsidR="006C598C" w:rsidRDefault="006C598C">
            <w:pPr>
              <w:jc w:val="center"/>
              <w:rPr>
                <w:rFonts w:eastAsia="Times New Roman"/>
                <w:sz w:val="18"/>
                <w:szCs w:val="18"/>
              </w:rPr>
            </w:pPr>
            <w:r>
              <w:rPr>
                <w:rFonts w:eastAsia="Times New Roman"/>
                <w:sz w:val="18"/>
                <w:szCs w:val="18"/>
              </w:rPr>
              <w:t xml:space="preserve">Фамилия, инициалы зарегистрированного кандидата (его представителя), участвовавшего в жеребьевке </w:t>
            </w:r>
          </w:p>
        </w:tc>
        <w:tc>
          <w:tcPr>
            <w:tcW w:w="3071" w:type="dxa"/>
            <w:tcBorders>
              <w:top w:val="single" w:sz="4" w:space="0" w:color="auto"/>
              <w:left w:val="single" w:sz="4" w:space="0" w:color="auto"/>
              <w:bottom w:val="single" w:sz="4" w:space="0" w:color="auto"/>
              <w:right w:val="single" w:sz="4" w:space="0" w:color="auto"/>
            </w:tcBorders>
            <w:hideMark/>
          </w:tcPr>
          <w:p w14:paraId="1F668467" w14:textId="77777777" w:rsidR="006C598C" w:rsidRDefault="006C598C">
            <w:pPr>
              <w:jc w:val="center"/>
              <w:rPr>
                <w:rFonts w:eastAsia="Times New Roman"/>
                <w:sz w:val="18"/>
                <w:szCs w:val="18"/>
              </w:rPr>
            </w:pPr>
            <w:r>
              <w:rPr>
                <w:rFonts w:eastAsia="Times New Roman"/>
                <w:sz w:val="18"/>
                <w:szCs w:val="18"/>
              </w:rPr>
              <w:t>Подпись зарегистрированного кандидата (его представителя), участвовавшего в жеребьевке, дата подписания</w:t>
            </w:r>
          </w:p>
        </w:tc>
      </w:tr>
      <w:tr w:rsidR="006C598C" w14:paraId="4CD2FDBF" w14:textId="77777777" w:rsidTr="006C598C">
        <w:trPr>
          <w:cantSplit/>
        </w:trPr>
        <w:tc>
          <w:tcPr>
            <w:tcW w:w="360" w:type="dxa"/>
            <w:tcBorders>
              <w:top w:val="single" w:sz="4" w:space="0" w:color="auto"/>
              <w:left w:val="single" w:sz="4" w:space="0" w:color="auto"/>
              <w:bottom w:val="single" w:sz="4" w:space="0" w:color="auto"/>
              <w:right w:val="single" w:sz="4" w:space="0" w:color="auto"/>
            </w:tcBorders>
          </w:tcPr>
          <w:p w14:paraId="77DD58E6" w14:textId="77777777" w:rsidR="006C598C" w:rsidRDefault="006C598C">
            <w:pPr>
              <w:jc w:val="center"/>
              <w:rPr>
                <w:rFonts w:eastAsia="Times New Roman"/>
                <w:sz w:val="18"/>
                <w:szCs w:val="18"/>
              </w:rPr>
            </w:pPr>
          </w:p>
        </w:tc>
        <w:tc>
          <w:tcPr>
            <w:tcW w:w="4140" w:type="dxa"/>
            <w:tcBorders>
              <w:top w:val="single" w:sz="4" w:space="0" w:color="auto"/>
              <w:left w:val="single" w:sz="4" w:space="0" w:color="auto"/>
              <w:bottom w:val="single" w:sz="4" w:space="0" w:color="auto"/>
              <w:right w:val="single" w:sz="4" w:space="0" w:color="auto"/>
            </w:tcBorders>
          </w:tcPr>
          <w:p w14:paraId="01A867E5" w14:textId="77777777" w:rsidR="006C598C" w:rsidRDefault="006C598C">
            <w:pPr>
              <w:rPr>
                <w:rFonts w:eastAsia="Times New Roman"/>
                <w:sz w:val="18"/>
                <w:szCs w:val="18"/>
              </w:rPr>
            </w:pPr>
          </w:p>
          <w:p w14:paraId="34A664E1" w14:textId="77777777" w:rsidR="006C598C" w:rsidRDefault="006C598C">
            <w:pPr>
              <w:rPr>
                <w:rFonts w:eastAsia="Times New Roman"/>
                <w:sz w:val="18"/>
                <w:szCs w:val="18"/>
              </w:rPr>
            </w:pPr>
          </w:p>
          <w:p w14:paraId="6E78D76A" w14:textId="77777777" w:rsidR="006C598C" w:rsidRDefault="006C598C">
            <w:pPr>
              <w:rPr>
                <w:rFonts w:eastAsia="Times New Roman"/>
                <w:sz w:val="18"/>
                <w:szCs w:val="18"/>
              </w:rPr>
            </w:pPr>
          </w:p>
        </w:tc>
        <w:tc>
          <w:tcPr>
            <w:tcW w:w="3193" w:type="dxa"/>
            <w:tcBorders>
              <w:top w:val="single" w:sz="4" w:space="0" w:color="auto"/>
              <w:left w:val="single" w:sz="4" w:space="0" w:color="auto"/>
              <w:bottom w:val="single" w:sz="4" w:space="0" w:color="auto"/>
              <w:right w:val="single" w:sz="4" w:space="0" w:color="auto"/>
            </w:tcBorders>
          </w:tcPr>
          <w:p w14:paraId="2CECF462" w14:textId="77777777" w:rsidR="006C598C" w:rsidRDefault="006C598C">
            <w:pPr>
              <w:jc w:val="center"/>
              <w:rPr>
                <w:rFonts w:eastAsia="Times New Roman"/>
                <w:sz w:val="18"/>
                <w:szCs w:val="18"/>
              </w:rPr>
            </w:pPr>
          </w:p>
        </w:tc>
        <w:tc>
          <w:tcPr>
            <w:tcW w:w="4536" w:type="dxa"/>
            <w:tcBorders>
              <w:top w:val="single" w:sz="4" w:space="0" w:color="auto"/>
              <w:left w:val="single" w:sz="4" w:space="0" w:color="auto"/>
              <w:bottom w:val="single" w:sz="4" w:space="0" w:color="auto"/>
              <w:right w:val="single" w:sz="4" w:space="0" w:color="auto"/>
            </w:tcBorders>
          </w:tcPr>
          <w:p w14:paraId="19682101" w14:textId="77777777" w:rsidR="006C598C" w:rsidRDefault="006C598C">
            <w:pPr>
              <w:rPr>
                <w:rFonts w:eastAsia="Times New Roman"/>
                <w:sz w:val="18"/>
                <w:szCs w:val="18"/>
              </w:rPr>
            </w:pPr>
          </w:p>
        </w:tc>
        <w:tc>
          <w:tcPr>
            <w:tcW w:w="3071" w:type="dxa"/>
            <w:tcBorders>
              <w:top w:val="single" w:sz="4" w:space="0" w:color="auto"/>
              <w:left w:val="single" w:sz="4" w:space="0" w:color="auto"/>
              <w:bottom w:val="single" w:sz="4" w:space="0" w:color="auto"/>
              <w:right w:val="single" w:sz="4" w:space="0" w:color="auto"/>
            </w:tcBorders>
          </w:tcPr>
          <w:p w14:paraId="4AC6EF31" w14:textId="77777777" w:rsidR="006C598C" w:rsidRDefault="006C598C">
            <w:pPr>
              <w:rPr>
                <w:rFonts w:eastAsia="Times New Roman"/>
                <w:sz w:val="18"/>
                <w:szCs w:val="18"/>
              </w:rPr>
            </w:pPr>
          </w:p>
        </w:tc>
      </w:tr>
    </w:tbl>
    <w:p w14:paraId="555D6526" w14:textId="77777777" w:rsidR="006C598C" w:rsidRDefault="006C598C" w:rsidP="006C598C">
      <w:pPr>
        <w:rPr>
          <w:rFonts w:eastAsia="Times New Roman"/>
          <w:sz w:val="16"/>
          <w:szCs w:val="16"/>
        </w:rPr>
      </w:pPr>
    </w:p>
    <w:p w14:paraId="7AFE37B2" w14:textId="77777777" w:rsidR="006C598C" w:rsidRDefault="006C598C" w:rsidP="006C598C">
      <w:pPr>
        <w:widowControl w:val="0"/>
        <w:spacing w:before="120" w:after="120"/>
        <w:jc w:val="both"/>
        <w:rPr>
          <w:rFonts w:eastAsia="Times New Roman"/>
          <w:sz w:val="18"/>
          <w:szCs w:val="18"/>
        </w:rPr>
      </w:pPr>
      <w:r>
        <w:rPr>
          <w:rFonts w:eastAsia="Times New Roman"/>
          <w:sz w:val="18"/>
          <w:szCs w:val="18"/>
        </w:rPr>
        <w:t>Представители редакции муниципального периодического печатного издания</w:t>
      </w:r>
      <w:r>
        <w:rPr>
          <w:rFonts w:eastAsia="Times New Roman"/>
          <w:sz w:val="18"/>
          <w:vertAlign w:val="superscript"/>
        </w:rPr>
        <w:footnoteReference w:id="1"/>
      </w:r>
    </w:p>
    <w:tbl>
      <w:tblPr>
        <w:tblW w:w="15150" w:type="dxa"/>
        <w:tblLayout w:type="fixed"/>
        <w:tblCellMar>
          <w:left w:w="28" w:type="dxa"/>
          <w:right w:w="28" w:type="dxa"/>
        </w:tblCellMar>
        <w:tblLook w:val="04A0" w:firstRow="1" w:lastRow="0" w:firstColumn="1" w:lastColumn="0" w:noHBand="0" w:noVBand="1"/>
      </w:tblPr>
      <w:tblGrid>
        <w:gridCol w:w="1986"/>
        <w:gridCol w:w="285"/>
        <w:gridCol w:w="2552"/>
        <w:gridCol w:w="284"/>
        <w:gridCol w:w="1558"/>
        <w:gridCol w:w="2437"/>
        <w:gridCol w:w="1985"/>
        <w:gridCol w:w="284"/>
        <w:gridCol w:w="2552"/>
        <w:gridCol w:w="284"/>
        <w:gridCol w:w="943"/>
      </w:tblGrid>
      <w:tr w:rsidR="006C598C" w14:paraId="17FC6716" w14:textId="77777777" w:rsidTr="006C598C">
        <w:tc>
          <w:tcPr>
            <w:tcW w:w="1985" w:type="dxa"/>
            <w:tcBorders>
              <w:top w:val="nil"/>
              <w:left w:val="nil"/>
              <w:bottom w:val="single" w:sz="4" w:space="0" w:color="auto"/>
              <w:right w:val="nil"/>
            </w:tcBorders>
            <w:vAlign w:val="bottom"/>
          </w:tcPr>
          <w:p w14:paraId="05ABA027" w14:textId="77777777" w:rsidR="006C598C" w:rsidRDefault="006C598C">
            <w:pPr>
              <w:jc w:val="center"/>
              <w:rPr>
                <w:rFonts w:eastAsia="Times New Roman"/>
                <w:sz w:val="18"/>
                <w:szCs w:val="18"/>
              </w:rPr>
            </w:pPr>
          </w:p>
        </w:tc>
        <w:tc>
          <w:tcPr>
            <w:tcW w:w="284" w:type="dxa"/>
            <w:vAlign w:val="bottom"/>
          </w:tcPr>
          <w:p w14:paraId="242BAEA5" w14:textId="77777777" w:rsidR="006C598C" w:rsidRDefault="006C598C">
            <w:pPr>
              <w:jc w:val="center"/>
              <w:rPr>
                <w:rFonts w:eastAsia="Times New Roman"/>
                <w:sz w:val="18"/>
                <w:szCs w:val="18"/>
              </w:rPr>
            </w:pPr>
          </w:p>
        </w:tc>
        <w:tc>
          <w:tcPr>
            <w:tcW w:w="2552" w:type="dxa"/>
            <w:tcBorders>
              <w:top w:val="nil"/>
              <w:left w:val="nil"/>
              <w:bottom w:val="single" w:sz="4" w:space="0" w:color="auto"/>
              <w:right w:val="nil"/>
            </w:tcBorders>
            <w:vAlign w:val="bottom"/>
          </w:tcPr>
          <w:p w14:paraId="3AD7A571" w14:textId="77777777" w:rsidR="006C598C" w:rsidRDefault="006C598C">
            <w:pPr>
              <w:jc w:val="center"/>
              <w:rPr>
                <w:rFonts w:eastAsia="Times New Roman"/>
                <w:sz w:val="18"/>
                <w:szCs w:val="18"/>
              </w:rPr>
            </w:pPr>
          </w:p>
        </w:tc>
        <w:tc>
          <w:tcPr>
            <w:tcW w:w="284" w:type="dxa"/>
            <w:vAlign w:val="bottom"/>
          </w:tcPr>
          <w:p w14:paraId="7DF2AE0C" w14:textId="77777777" w:rsidR="006C598C" w:rsidRDefault="006C598C">
            <w:pPr>
              <w:jc w:val="center"/>
              <w:rPr>
                <w:rFonts w:eastAsia="Times New Roman"/>
                <w:sz w:val="18"/>
                <w:szCs w:val="18"/>
              </w:rPr>
            </w:pPr>
          </w:p>
        </w:tc>
        <w:tc>
          <w:tcPr>
            <w:tcW w:w="1558" w:type="dxa"/>
            <w:tcBorders>
              <w:top w:val="nil"/>
              <w:left w:val="nil"/>
              <w:bottom w:val="single" w:sz="4" w:space="0" w:color="auto"/>
              <w:right w:val="nil"/>
            </w:tcBorders>
            <w:vAlign w:val="bottom"/>
          </w:tcPr>
          <w:p w14:paraId="620C05EF" w14:textId="77777777" w:rsidR="006C598C" w:rsidRDefault="006C598C">
            <w:pPr>
              <w:jc w:val="center"/>
              <w:rPr>
                <w:rFonts w:eastAsia="Times New Roman"/>
                <w:sz w:val="18"/>
                <w:szCs w:val="18"/>
              </w:rPr>
            </w:pPr>
          </w:p>
        </w:tc>
        <w:tc>
          <w:tcPr>
            <w:tcW w:w="2437" w:type="dxa"/>
            <w:vAlign w:val="bottom"/>
          </w:tcPr>
          <w:p w14:paraId="024C7A2B" w14:textId="77777777" w:rsidR="006C598C" w:rsidRDefault="006C598C">
            <w:pPr>
              <w:jc w:val="center"/>
              <w:rPr>
                <w:rFonts w:eastAsia="Times New Roman"/>
                <w:sz w:val="18"/>
                <w:szCs w:val="18"/>
              </w:rPr>
            </w:pPr>
          </w:p>
        </w:tc>
        <w:tc>
          <w:tcPr>
            <w:tcW w:w="1985" w:type="dxa"/>
            <w:tcBorders>
              <w:top w:val="nil"/>
              <w:left w:val="nil"/>
              <w:bottom w:val="single" w:sz="4" w:space="0" w:color="auto"/>
              <w:right w:val="nil"/>
            </w:tcBorders>
            <w:vAlign w:val="bottom"/>
          </w:tcPr>
          <w:p w14:paraId="4AF77D04" w14:textId="77777777" w:rsidR="006C598C" w:rsidRDefault="006C598C">
            <w:pPr>
              <w:jc w:val="center"/>
              <w:rPr>
                <w:rFonts w:eastAsia="Times New Roman"/>
                <w:sz w:val="18"/>
                <w:szCs w:val="18"/>
              </w:rPr>
            </w:pPr>
          </w:p>
        </w:tc>
        <w:tc>
          <w:tcPr>
            <w:tcW w:w="284" w:type="dxa"/>
            <w:vAlign w:val="bottom"/>
          </w:tcPr>
          <w:p w14:paraId="1383E18B" w14:textId="77777777" w:rsidR="006C598C" w:rsidRDefault="006C598C">
            <w:pPr>
              <w:jc w:val="center"/>
              <w:rPr>
                <w:rFonts w:eastAsia="Times New Roman"/>
                <w:sz w:val="18"/>
                <w:szCs w:val="18"/>
              </w:rPr>
            </w:pPr>
          </w:p>
        </w:tc>
        <w:tc>
          <w:tcPr>
            <w:tcW w:w="2552" w:type="dxa"/>
            <w:tcBorders>
              <w:top w:val="nil"/>
              <w:left w:val="nil"/>
              <w:bottom w:val="single" w:sz="4" w:space="0" w:color="auto"/>
              <w:right w:val="nil"/>
            </w:tcBorders>
            <w:vAlign w:val="bottom"/>
          </w:tcPr>
          <w:p w14:paraId="457048DE" w14:textId="77777777" w:rsidR="006C598C" w:rsidRDefault="006C598C">
            <w:pPr>
              <w:jc w:val="center"/>
              <w:rPr>
                <w:rFonts w:eastAsia="Times New Roman"/>
                <w:sz w:val="18"/>
                <w:szCs w:val="18"/>
              </w:rPr>
            </w:pPr>
          </w:p>
        </w:tc>
        <w:tc>
          <w:tcPr>
            <w:tcW w:w="284" w:type="dxa"/>
            <w:vAlign w:val="bottom"/>
          </w:tcPr>
          <w:p w14:paraId="7FA84F66" w14:textId="77777777" w:rsidR="006C598C" w:rsidRDefault="006C598C">
            <w:pPr>
              <w:jc w:val="center"/>
              <w:rPr>
                <w:rFonts w:eastAsia="Times New Roman"/>
                <w:sz w:val="18"/>
                <w:szCs w:val="18"/>
              </w:rPr>
            </w:pPr>
          </w:p>
        </w:tc>
        <w:tc>
          <w:tcPr>
            <w:tcW w:w="943" w:type="dxa"/>
            <w:tcBorders>
              <w:top w:val="nil"/>
              <w:left w:val="nil"/>
              <w:bottom w:val="single" w:sz="4" w:space="0" w:color="auto"/>
              <w:right w:val="nil"/>
            </w:tcBorders>
            <w:vAlign w:val="bottom"/>
          </w:tcPr>
          <w:p w14:paraId="76FB0BB0" w14:textId="77777777" w:rsidR="006C598C" w:rsidRDefault="006C598C">
            <w:pPr>
              <w:jc w:val="center"/>
              <w:rPr>
                <w:rFonts w:eastAsia="Times New Roman"/>
                <w:sz w:val="18"/>
                <w:szCs w:val="18"/>
              </w:rPr>
            </w:pPr>
          </w:p>
        </w:tc>
      </w:tr>
      <w:tr w:rsidR="006C598C" w14:paraId="097BF30C" w14:textId="77777777" w:rsidTr="006C598C">
        <w:trPr>
          <w:trHeight w:val="103"/>
        </w:trPr>
        <w:tc>
          <w:tcPr>
            <w:tcW w:w="1985" w:type="dxa"/>
            <w:hideMark/>
          </w:tcPr>
          <w:p w14:paraId="490B6C1E" w14:textId="77777777" w:rsidR="006C598C" w:rsidRDefault="006C598C">
            <w:pPr>
              <w:jc w:val="center"/>
              <w:rPr>
                <w:rFonts w:eastAsia="Times New Roman"/>
                <w:vertAlign w:val="superscript"/>
              </w:rPr>
            </w:pPr>
            <w:r>
              <w:rPr>
                <w:rFonts w:eastAsia="Times New Roman"/>
                <w:vertAlign w:val="superscript"/>
              </w:rPr>
              <w:t>(подпись)</w:t>
            </w:r>
          </w:p>
        </w:tc>
        <w:tc>
          <w:tcPr>
            <w:tcW w:w="284" w:type="dxa"/>
          </w:tcPr>
          <w:p w14:paraId="563F8C6B" w14:textId="77777777" w:rsidR="006C598C" w:rsidRDefault="006C598C">
            <w:pPr>
              <w:jc w:val="center"/>
              <w:rPr>
                <w:rFonts w:eastAsia="Times New Roman"/>
                <w:vertAlign w:val="superscript"/>
              </w:rPr>
            </w:pPr>
          </w:p>
        </w:tc>
        <w:tc>
          <w:tcPr>
            <w:tcW w:w="2552" w:type="dxa"/>
            <w:hideMark/>
          </w:tcPr>
          <w:p w14:paraId="5EFAD6B0" w14:textId="77777777" w:rsidR="006C598C" w:rsidRDefault="006C598C">
            <w:pPr>
              <w:jc w:val="center"/>
              <w:rPr>
                <w:rFonts w:eastAsia="Times New Roman"/>
                <w:vertAlign w:val="superscript"/>
              </w:rPr>
            </w:pPr>
            <w:r>
              <w:rPr>
                <w:rFonts w:eastAsia="Times New Roman"/>
                <w:vertAlign w:val="superscript"/>
              </w:rPr>
              <w:t>(инициалы, фамилия)</w:t>
            </w:r>
          </w:p>
        </w:tc>
        <w:tc>
          <w:tcPr>
            <w:tcW w:w="284" w:type="dxa"/>
          </w:tcPr>
          <w:p w14:paraId="580AF467" w14:textId="77777777" w:rsidR="006C598C" w:rsidRDefault="006C598C">
            <w:pPr>
              <w:jc w:val="center"/>
              <w:rPr>
                <w:rFonts w:eastAsia="Times New Roman"/>
                <w:vertAlign w:val="superscript"/>
              </w:rPr>
            </w:pPr>
          </w:p>
        </w:tc>
        <w:tc>
          <w:tcPr>
            <w:tcW w:w="1558" w:type="dxa"/>
            <w:hideMark/>
          </w:tcPr>
          <w:p w14:paraId="374F04C9" w14:textId="77777777" w:rsidR="006C598C" w:rsidRDefault="006C598C">
            <w:pPr>
              <w:jc w:val="center"/>
              <w:rPr>
                <w:rFonts w:eastAsia="Times New Roman"/>
                <w:vertAlign w:val="superscript"/>
              </w:rPr>
            </w:pPr>
            <w:r>
              <w:rPr>
                <w:rFonts w:eastAsia="Times New Roman"/>
                <w:vertAlign w:val="superscript"/>
              </w:rPr>
              <w:t>(дата)</w:t>
            </w:r>
          </w:p>
        </w:tc>
        <w:tc>
          <w:tcPr>
            <w:tcW w:w="2437" w:type="dxa"/>
          </w:tcPr>
          <w:p w14:paraId="6D77660A" w14:textId="77777777" w:rsidR="006C598C" w:rsidRDefault="006C598C">
            <w:pPr>
              <w:jc w:val="center"/>
              <w:rPr>
                <w:rFonts w:eastAsia="Times New Roman"/>
                <w:vertAlign w:val="superscript"/>
              </w:rPr>
            </w:pPr>
          </w:p>
        </w:tc>
        <w:tc>
          <w:tcPr>
            <w:tcW w:w="1985" w:type="dxa"/>
            <w:hideMark/>
          </w:tcPr>
          <w:p w14:paraId="1892715D" w14:textId="77777777" w:rsidR="006C598C" w:rsidRDefault="006C598C">
            <w:pPr>
              <w:jc w:val="center"/>
              <w:rPr>
                <w:rFonts w:eastAsia="Times New Roman"/>
                <w:vertAlign w:val="superscript"/>
              </w:rPr>
            </w:pPr>
            <w:r>
              <w:rPr>
                <w:rFonts w:eastAsia="Times New Roman"/>
                <w:vertAlign w:val="superscript"/>
              </w:rPr>
              <w:t>(подпись)</w:t>
            </w:r>
          </w:p>
        </w:tc>
        <w:tc>
          <w:tcPr>
            <w:tcW w:w="284" w:type="dxa"/>
          </w:tcPr>
          <w:p w14:paraId="4513CDA2" w14:textId="77777777" w:rsidR="006C598C" w:rsidRDefault="006C598C">
            <w:pPr>
              <w:jc w:val="center"/>
              <w:rPr>
                <w:rFonts w:eastAsia="Times New Roman"/>
                <w:vertAlign w:val="superscript"/>
              </w:rPr>
            </w:pPr>
          </w:p>
        </w:tc>
        <w:tc>
          <w:tcPr>
            <w:tcW w:w="2552" w:type="dxa"/>
            <w:hideMark/>
          </w:tcPr>
          <w:p w14:paraId="23C49951" w14:textId="77777777" w:rsidR="006C598C" w:rsidRDefault="006C598C">
            <w:pPr>
              <w:jc w:val="center"/>
              <w:rPr>
                <w:rFonts w:eastAsia="Times New Roman"/>
                <w:vertAlign w:val="superscript"/>
              </w:rPr>
            </w:pPr>
            <w:r>
              <w:rPr>
                <w:rFonts w:eastAsia="Times New Roman"/>
                <w:vertAlign w:val="superscript"/>
              </w:rPr>
              <w:t>(инициалы, фамилия)</w:t>
            </w:r>
          </w:p>
        </w:tc>
        <w:tc>
          <w:tcPr>
            <w:tcW w:w="284" w:type="dxa"/>
          </w:tcPr>
          <w:p w14:paraId="483A8D9E" w14:textId="77777777" w:rsidR="006C598C" w:rsidRDefault="006C598C">
            <w:pPr>
              <w:jc w:val="center"/>
              <w:rPr>
                <w:rFonts w:eastAsia="Times New Roman"/>
                <w:vertAlign w:val="superscript"/>
              </w:rPr>
            </w:pPr>
          </w:p>
        </w:tc>
        <w:tc>
          <w:tcPr>
            <w:tcW w:w="943" w:type="dxa"/>
            <w:hideMark/>
          </w:tcPr>
          <w:p w14:paraId="0957D466" w14:textId="77777777" w:rsidR="006C598C" w:rsidRDefault="006C598C">
            <w:pPr>
              <w:jc w:val="center"/>
              <w:rPr>
                <w:rFonts w:eastAsia="Times New Roman"/>
                <w:vertAlign w:val="superscript"/>
              </w:rPr>
            </w:pPr>
            <w:r>
              <w:rPr>
                <w:rFonts w:eastAsia="Times New Roman"/>
                <w:vertAlign w:val="superscript"/>
              </w:rPr>
              <w:t>(дата)</w:t>
            </w:r>
          </w:p>
        </w:tc>
      </w:tr>
    </w:tbl>
    <w:p w14:paraId="7327CA5B" w14:textId="77777777" w:rsidR="006C598C" w:rsidRDefault="006C598C" w:rsidP="006C598C">
      <w:pPr>
        <w:widowControl w:val="0"/>
        <w:spacing w:before="120"/>
        <w:ind w:right="3402"/>
        <w:rPr>
          <w:rFonts w:eastAsia="Times New Roman"/>
          <w:sz w:val="18"/>
          <w:szCs w:val="18"/>
        </w:rPr>
      </w:pPr>
      <w:r>
        <w:rPr>
          <w:rFonts w:eastAsia="Times New Roman"/>
          <w:sz w:val="18"/>
          <w:szCs w:val="18"/>
        </w:rPr>
        <w:t xml:space="preserve">Член избирательной комиссии с правом решающего голоса </w:t>
      </w:r>
    </w:p>
    <w:tbl>
      <w:tblPr>
        <w:tblW w:w="0" w:type="auto"/>
        <w:tblLayout w:type="fixed"/>
        <w:tblCellMar>
          <w:left w:w="28" w:type="dxa"/>
          <w:right w:w="28" w:type="dxa"/>
        </w:tblCellMar>
        <w:tblLook w:val="04A0" w:firstRow="1" w:lastRow="0" w:firstColumn="1" w:lastColumn="0" w:noHBand="0" w:noVBand="1"/>
      </w:tblPr>
      <w:tblGrid>
        <w:gridCol w:w="1985"/>
        <w:gridCol w:w="284"/>
        <w:gridCol w:w="2552"/>
        <w:gridCol w:w="284"/>
        <w:gridCol w:w="1558"/>
      </w:tblGrid>
      <w:tr w:rsidR="006C598C" w14:paraId="30E171C6" w14:textId="77777777" w:rsidTr="006C598C">
        <w:tc>
          <w:tcPr>
            <w:tcW w:w="1985" w:type="dxa"/>
            <w:tcBorders>
              <w:top w:val="nil"/>
              <w:left w:val="nil"/>
              <w:bottom w:val="single" w:sz="4" w:space="0" w:color="auto"/>
              <w:right w:val="nil"/>
            </w:tcBorders>
            <w:vAlign w:val="bottom"/>
          </w:tcPr>
          <w:p w14:paraId="588AEB56" w14:textId="77777777" w:rsidR="006C598C" w:rsidRDefault="006C598C">
            <w:pPr>
              <w:spacing w:before="120"/>
              <w:jc w:val="center"/>
              <w:rPr>
                <w:rFonts w:eastAsia="Times New Roman"/>
                <w:sz w:val="18"/>
                <w:szCs w:val="18"/>
              </w:rPr>
            </w:pPr>
          </w:p>
        </w:tc>
        <w:tc>
          <w:tcPr>
            <w:tcW w:w="284" w:type="dxa"/>
            <w:vAlign w:val="bottom"/>
          </w:tcPr>
          <w:p w14:paraId="647319D5" w14:textId="77777777" w:rsidR="006C598C" w:rsidRDefault="006C598C">
            <w:pPr>
              <w:spacing w:before="120"/>
              <w:jc w:val="center"/>
              <w:rPr>
                <w:rFonts w:eastAsia="Times New Roman"/>
                <w:sz w:val="18"/>
                <w:szCs w:val="18"/>
              </w:rPr>
            </w:pPr>
          </w:p>
        </w:tc>
        <w:tc>
          <w:tcPr>
            <w:tcW w:w="2552" w:type="dxa"/>
            <w:tcBorders>
              <w:top w:val="nil"/>
              <w:left w:val="nil"/>
              <w:bottom w:val="single" w:sz="4" w:space="0" w:color="auto"/>
              <w:right w:val="nil"/>
            </w:tcBorders>
            <w:vAlign w:val="bottom"/>
          </w:tcPr>
          <w:p w14:paraId="2EB2E72F" w14:textId="77777777" w:rsidR="006C598C" w:rsidRDefault="006C598C">
            <w:pPr>
              <w:spacing w:before="120"/>
              <w:jc w:val="center"/>
              <w:rPr>
                <w:rFonts w:eastAsia="Times New Roman"/>
                <w:sz w:val="18"/>
                <w:szCs w:val="18"/>
              </w:rPr>
            </w:pPr>
          </w:p>
        </w:tc>
        <w:tc>
          <w:tcPr>
            <w:tcW w:w="284" w:type="dxa"/>
            <w:vAlign w:val="bottom"/>
          </w:tcPr>
          <w:p w14:paraId="205BB1A5" w14:textId="77777777" w:rsidR="006C598C" w:rsidRDefault="006C598C">
            <w:pPr>
              <w:spacing w:before="120"/>
              <w:jc w:val="center"/>
              <w:rPr>
                <w:rFonts w:eastAsia="Times New Roman"/>
                <w:sz w:val="18"/>
                <w:szCs w:val="18"/>
              </w:rPr>
            </w:pPr>
          </w:p>
        </w:tc>
        <w:tc>
          <w:tcPr>
            <w:tcW w:w="1558" w:type="dxa"/>
            <w:tcBorders>
              <w:top w:val="nil"/>
              <w:left w:val="nil"/>
              <w:bottom w:val="single" w:sz="4" w:space="0" w:color="auto"/>
              <w:right w:val="nil"/>
            </w:tcBorders>
            <w:vAlign w:val="bottom"/>
          </w:tcPr>
          <w:p w14:paraId="78BAC9ED" w14:textId="77777777" w:rsidR="006C598C" w:rsidRDefault="006C598C">
            <w:pPr>
              <w:spacing w:before="120"/>
              <w:jc w:val="center"/>
              <w:rPr>
                <w:rFonts w:eastAsia="Times New Roman"/>
                <w:sz w:val="18"/>
                <w:szCs w:val="18"/>
              </w:rPr>
            </w:pPr>
          </w:p>
        </w:tc>
      </w:tr>
      <w:tr w:rsidR="006C598C" w14:paraId="335B932C" w14:textId="77777777" w:rsidTr="006C598C">
        <w:tc>
          <w:tcPr>
            <w:tcW w:w="1985" w:type="dxa"/>
            <w:hideMark/>
          </w:tcPr>
          <w:p w14:paraId="53D68954" w14:textId="77777777" w:rsidR="006C598C" w:rsidRDefault="006C598C">
            <w:pPr>
              <w:jc w:val="center"/>
              <w:rPr>
                <w:rFonts w:eastAsia="Times New Roman"/>
                <w:vertAlign w:val="superscript"/>
              </w:rPr>
            </w:pPr>
            <w:r>
              <w:rPr>
                <w:rFonts w:eastAsia="Times New Roman"/>
                <w:vertAlign w:val="superscript"/>
              </w:rPr>
              <w:t>(подпись)</w:t>
            </w:r>
          </w:p>
        </w:tc>
        <w:tc>
          <w:tcPr>
            <w:tcW w:w="284" w:type="dxa"/>
          </w:tcPr>
          <w:p w14:paraId="685F3188" w14:textId="77777777" w:rsidR="006C598C" w:rsidRDefault="006C598C">
            <w:pPr>
              <w:jc w:val="center"/>
              <w:rPr>
                <w:rFonts w:eastAsia="Times New Roman"/>
                <w:vertAlign w:val="superscript"/>
              </w:rPr>
            </w:pPr>
          </w:p>
        </w:tc>
        <w:tc>
          <w:tcPr>
            <w:tcW w:w="2552" w:type="dxa"/>
            <w:hideMark/>
          </w:tcPr>
          <w:p w14:paraId="26FC1C54" w14:textId="77777777" w:rsidR="006C598C" w:rsidRDefault="006C598C">
            <w:pPr>
              <w:jc w:val="center"/>
              <w:rPr>
                <w:rFonts w:eastAsia="Times New Roman"/>
                <w:vertAlign w:val="superscript"/>
              </w:rPr>
            </w:pPr>
            <w:r>
              <w:rPr>
                <w:rFonts w:eastAsia="Times New Roman"/>
                <w:vertAlign w:val="superscript"/>
              </w:rPr>
              <w:t>(инициалы, фамилия)</w:t>
            </w:r>
          </w:p>
        </w:tc>
        <w:tc>
          <w:tcPr>
            <w:tcW w:w="284" w:type="dxa"/>
          </w:tcPr>
          <w:p w14:paraId="30D787E7" w14:textId="77777777" w:rsidR="006C598C" w:rsidRDefault="006C598C">
            <w:pPr>
              <w:jc w:val="center"/>
              <w:rPr>
                <w:rFonts w:eastAsia="Times New Roman"/>
                <w:vertAlign w:val="superscript"/>
              </w:rPr>
            </w:pPr>
          </w:p>
        </w:tc>
        <w:tc>
          <w:tcPr>
            <w:tcW w:w="1558" w:type="dxa"/>
            <w:hideMark/>
          </w:tcPr>
          <w:p w14:paraId="57856409" w14:textId="77777777" w:rsidR="006C598C" w:rsidRDefault="006C598C">
            <w:pPr>
              <w:jc w:val="center"/>
              <w:rPr>
                <w:rFonts w:eastAsia="Times New Roman"/>
                <w:vertAlign w:val="superscript"/>
                <w:lang w:val="en-US"/>
              </w:rPr>
            </w:pPr>
            <w:r>
              <w:rPr>
                <w:rFonts w:eastAsia="Times New Roman"/>
                <w:vertAlign w:val="superscript"/>
              </w:rPr>
              <w:t>(дата)</w:t>
            </w:r>
          </w:p>
        </w:tc>
      </w:tr>
      <w:tr w:rsidR="006C598C" w14:paraId="65693CBC" w14:textId="77777777" w:rsidTr="006C598C">
        <w:tc>
          <w:tcPr>
            <w:tcW w:w="1985" w:type="dxa"/>
          </w:tcPr>
          <w:p w14:paraId="5B29DA05" w14:textId="77777777" w:rsidR="006C598C" w:rsidRDefault="006C598C">
            <w:pPr>
              <w:jc w:val="center"/>
              <w:rPr>
                <w:rFonts w:eastAsia="Times New Roman"/>
                <w:vertAlign w:val="superscript"/>
              </w:rPr>
            </w:pPr>
          </w:p>
        </w:tc>
        <w:tc>
          <w:tcPr>
            <w:tcW w:w="284" w:type="dxa"/>
          </w:tcPr>
          <w:p w14:paraId="6F9DE641" w14:textId="77777777" w:rsidR="006C598C" w:rsidRDefault="006C598C">
            <w:pPr>
              <w:jc w:val="center"/>
              <w:rPr>
                <w:rFonts w:eastAsia="Times New Roman"/>
                <w:vertAlign w:val="superscript"/>
              </w:rPr>
            </w:pPr>
          </w:p>
        </w:tc>
        <w:tc>
          <w:tcPr>
            <w:tcW w:w="2552" w:type="dxa"/>
          </w:tcPr>
          <w:p w14:paraId="17972FCC" w14:textId="77777777" w:rsidR="006C598C" w:rsidRDefault="006C598C">
            <w:pPr>
              <w:jc w:val="center"/>
              <w:rPr>
                <w:rFonts w:eastAsia="Times New Roman"/>
                <w:vertAlign w:val="superscript"/>
              </w:rPr>
            </w:pPr>
          </w:p>
        </w:tc>
        <w:tc>
          <w:tcPr>
            <w:tcW w:w="284" w:type="dxa"/>
          </w:tcPr>
          <w:p w14:paraId="1E11530B" w14:textId="77777777" w:rsidR="006C598C" w:rsidRDefault="006C598C">
            <w:pPr>
              <w:jc w:val="center"/>
              <w:rPr>
                <w:rFonts w:eastAsia="Times New Roman"/>
                <w:vertAlign w:val="superscript"/>
              </w:rPr>
            </w:pPr>
          </w:p>
        </w:tc>
        <w:tc>
          <w:tcPr>
            <w:tcW w:w="1558" w:type="dxa"/>
          </w:tcPr>
          <w:p w14:paraId="19AB8DBD" w14:textId="77777777" w:rsidR="006C598C" w:rsidRDefault="006C598C">
            <w:pPr>
              <w:jc w:val="center"/>
              <w:rPr>
                <w:rFonts w:eastAsia="Times New Roman"/>
                <w:vertAlign w:val="superscript"/>
              </w:rPr>
            </w:pPr>
          </w:p>
        </w:tc>
      </w:tr>
    </w:tbl>
    <w:p w14:paraId="114BF787" w14:textId="77777777" w:rsidR="006C598C" w:rsidRDefault="006C598C" w:rsidP="006C598C">
      <w:pPr>
        <w:rPr>
          <w:rFonts w:eastAsia="Times New Roman"/>
          <w:sz w:val="18"/>
          <w:szCs w:val="18"/>
        </w:rPr>
      </w:pPr>
      <w:r>
        <w:rPr>
          <w:rFonts w:eastAsia="Times New Roman"/>
          <w:sz w:val="18"/>
          <w:szCs w:val="18"/>
        </w:rPr>
        <w:t>Кандидат (представитель кандидата)</w:t>
      </w:r>
    </w:p>
    <w:tbl>
      <w:tblPr>
        <w:tblW w:w="0" w:type="auto"/>
        <w:tblLayout w:type="fixed"/>
        <w:tblCellMar>
          <w:left w:w="28" w:type="dxa"/>
          <w:right w:w="28" w:type="dxa"/>
        </w:tblCellMar>
        <w:tblLook w:val="04A0" w:firstRow="1" w:lastRow="0" w:firstColumn="1" w:lastColumn="0" w:noHBand="0" w:noVBand="1"/>
      </w:tblPr>
      <w:tblGrid>
        <w:gridCol w:w="1985"/>
        <w:gridCol w:w="284"/>
        <w:gridCol w:w="2552"/>
        <w:gridCol w:w="284"/>
        <w:gridCol w:w="1558"/>
      </w:tblGrid>
      <w:tr w:rsidR="006C598C" w14:paraId="70988ABC" w14:textId="77777777" w:rsidTr="006C598C">
        <w:tc>
          <w:tcPr>
            <w:tcW w:w="1985" w:type="dxa"/>
            <w:tcBorders>
              <w:top w:val="nil"/>
              <w:left w:val="nil"/>
              <w:bottom w:val="single" w:sz="4" w:space="0" w:color="auto"/>
              <w:right w:val="nil"/>
            </w:tcBorders>
            <w:vAlign w:val="bottom"/>
          </w:tcPr>
          <w:p w14:paraId="2A63B9DB" w14:textId="77777777" w:rsidR="006C598C" w:rsidRDefault="006C598C">
            <w:pPr>
              <w:spacing w:before="120"/>
              <w:jc w:val="center"/>
              <w:rPr>
                <w:rFonts w:eastAsia="Times New Roman"/>
                <w:sz w:val="18"/>
                <w:szCs w:val="18"/>
              </w:rPr>
            </w:pPr>
          </w:p>
        </w:tc>
        <w:tc>
          <w:tcPr>
            <w:tcW w:w="284" w:type="dxa"/>
            <w:vAlign w:val="bottom"/>
          </w:tcPr>
          <w:p w14:paraId="4EDDC8CB" w14:textId="77777777" w:rsidR="006C598C" w:rsidRDefault="006C598C">
            <w:pPr>
              <w:spacing w:before="120"/>
              <w:jc w:val="center"/>
              <w:rPr>
                <w:rFonts w:eastAsia="Times New Roman"/>
                <w:sz w:val="18"/>
                <w:szCs w:val="18"/>
              </w:rPr>
            </w:pPr>
          </w:p>
        </w:tc>
        <w:tc>
          <w:tcPr>
            <w:tcW w:w="2552" w:type="dxa"/>
            <w:tcBorders>
              <w:top w:val="nil"/>
              <w:left w:val="nil"/>
              <w:bottom w:val="single" w:sz="4" w:space="0" w:color="auto"/>
              <w:right w:val="nil"/>
            </w:tcBorders>
            <w:vAlign w:val="bottom"/>
          </w:tcPr>
          <w:p w14:paraId="2D6D0377" w14:textId="77777777" w:rsidR="006C598C" w:rsidRDefault="006C598C">
            <w:pPr>
              <w:spacing w:before="120"/>
              <w:jc w:val="center"/>
              <w:rPr>
                <w:rFonts w:eastAsia="Times New Roman"/>
                <w:sz w:val="18"/>
                <w:szCs w:val="18"/>
              </w:rPr>
            </w:pPr>
          </w:p>
        </w:tc>
        <w:tc>
          <w:tcPr>
            <w:tcW w:w="284" w:type="dxa"/>
            <w:vAlign w:val="bottom"/>
          </w:tcPr>
          <w:p w14:paraId="4A2ABF67" w14:textId="77777777" w:rsidR="006C598C" w:rsidRDefault="006C598C">
            <w:pPr>
              <w:spacing w:before="120"/>
              <w:jc w:val="center"/>
              <w:rPr>
                <w:rFonts w:eastAsia="Times New Roman"/>
                <w:sz w:val="18"/>
                <w:szCs w:val="18"/>
              </w:rPr>
            </w:pPr>
          </w:p>
        </w:tc>
        <w:tc>
          <w:tcPr>
            <w:tcW w:w="1558" w:type="dxa"/>
            <w:tcBorders>
              <w:top w:val="nil"/>
              <w:left w:val="nil"/>
              <w:bottom w:val="single" w:sz="4" w:space="0" w:color="auto"/>
              <w:right w:val="nil"/>
            </w:tcBorders>
            <w:vAlign w:val="bottom"/>
          </w:tcPr>
          <w:p w14:paraId="64FD9DB8" w14:textId="77777777" w:rsidR="006C598C" w:rsidRDefault="006C598C">
            <w:pPr>
              <w:spacing w:before="120"/>
              <w:jc w:val="center"/>
              <w:rPr>
                <w:rFonts w:eastAsia="Times New Roman"/>
                <w:sz w:val="18"/>
                <w:szCs w:val="18"/>
              </w:rPr>
            </w:pPr>
          </w:p>
        </w:tc>
      </w:tr>
      <w:tr w:rsidR="006C598C" w14:paraId="42AA58FA" w14:textId="77777777" w:rsidTr="006C598C">
        <w:tc>
          <w:tcPr>
            <w:tcW w:w="1985" w:type="dxa"/>
            <w:hideMark/>
          </w:tcPr>
          <w:p w14:paraId="270F47E8" w14:textId="77777777" w:rsidR="006C598C" w:rsidRDefault="006C598C">
            <w:pPr>
              <w:jc w:val="center"/>
              <w:rPr>
                <w:rFonts w:eastAsia="Times New Roman"/>
                <w:vertAlign w:val="superscript"/>
              </w:rPr>
            </w:pPr>
            <w:r>
              <w:rPr>
                <w:rFonts w:eastAsia="Times New Roman"/>
                <w:vertAlign w:val="superscript"/>
              </w:rPr>
              <w:t>(подпись)</w:t>
            </w:r>
          </w:p>
        </w:tc>
        <w:tc>
          <w:tcPr>
            <w:tcW w:w="284" w:type="dxa"/>
          </w:tcPr>
          <w:p w14:paraId="104661A1" w14:textId="77777777" w:rsidR="006C598C" w:rsidRDefault="006C598C">
            <w:pPr>
              <w:jc w:val="center"/>
              <w:rPr>
                <w:rFonts w:eastAsia="Times New Roman"/>
                <w:vertAlign w:val="superscript"/>
              </w:rPr>
            </w:pPr>
          </w:p>
        </w:tc>
        <w:tc>
          <w:tcPr>
            <w:tcW w:w="2552" w:type="dxa"/>
            <w:hideMark/>
          </w:tcPr>
          <w:p w14:paraId="771C28DD" w14:textId="77777777" w:rsidR="006C598C" w:rsidRDefault="006C598C">
            <w:pPr>
              <w:jc w:val="center"/>
              <w:rPr>
                <w:rFonts w:eastAsia="Times New Roman"/>
                <w:vertAlign w:val="superscript"/>
              </w:rPr>
            </w:pPr>
            <w:r>
              <w:rPr>
                <w:rFonts w:eastAsia="Times New Roman"/>
                <w:vertAlign w:val="superscript"/>
              </w:rPr>
              <w:t>(инициалы, фамилия)</w:t>
            </w:r>
          </w:p>
        </w:tc>
        <w:tc>
          <w:tcPr>
            <w:tcW w:w="284" w:type="dxa"/>
          </w:tcPr>
          <w:p w14:paraId="0E589C27" w14:textId="77777777" w:rsidR="006C598C" w:rsidRDefault="006C598C">
            <w:pPr>
              <w:jc w:val="center"/>
              <w:rPr>
                <w:rFonts w:eastAsia="Times New Roman"/>
                <w:vertAlign w:val="superscript"/>
              </w:rPr>
            </w:pPr>
          </w:p>
        </w:tc>
        <w:tc>
          <w:tcPr>
            <w:tcW w:w="1558" w:type="dxa"/>
            <w:hideMark/>
          </w:tcPr>
          <w:p w14:paraId="786B2D00" w14:textId="77777777" w:rsidR="006C598C" w:rsidRDefault="006C598C">
            <w:pPr>
              <w:jc w:val="center"/>
              <w:rPr>
                <w:rFonts w:eastAsia="Times New Roman"/>
                <w:vertAlign w:val="superscript"/>
                <w:lang w:val="en-US"/>
              </w:rPr>
            </w:pPr>
            <w:r>
              <w:rPr>
                <w:rFonts w:eastAsia="Times New Roman"/>
                <w:vertAlign w:val="superscript"/>
              </w:rPr>
              <w:t>(дата)</w:t>
            </w:r>
          </w:p>
        </w:tc>
      </w:tr>
      <w:tr w:rsidR="006C598C" w14:paraId="6DB5BDDC" w14:textId="77777777" w:rsidTr="006C598C">
        <w:tc>
          <w:tcPr>
            <w:tcW w:w="1985" w:type="dxa"/>
          </w:tcPr>
          <w:p w14:paraId="1C2451F4" w14:textId="77777777" w:rsidR="006C598C" w:rsidRDefault="006C598C">
            <w:pPr>
              <w:jc w:val="center"/>
              <w:rPr>
                <w:rFonts w:eastAsia="Times New Roman"/>
                <w:vertAlign w:val="superscript"/>
              </w:rPr>
            </w:pPr>
          </w:p>
        </w:tc>
        <w:tc>
          <w:tcPr>
            <w:tcW w:w="284" w:type="dxa"/>
          </w:tcPr>
          <w:p w14:paraId="3868BD08" w14:textId="77777777" w:rsidR="006C598C" w:rsidRDefault="006C598C">
            <w:pPr>
              <w:jc w:val="center"/>
              <w:rPr>
                <w:rFonts w:eastAsia="Times New Roman"/>
                <w:vertAlign w:val="superscript"/>
              </w:rPr>
            </w:pPr>
          </w:p>
        </w:tc>
        <w:tc>
          <w:tcPr>
            <w:tcW w:w="2552" w:type="dxa"/>
          </w:tcPr>
          <w:p w14:paraId="2528A902" w14:textId="77777777" w:rsidR="006C598C" w:rsidRDefault="006C598C">
            <w:pPr>
              <w:jc w:val="center"/>
              <w:rPr>
                <w:rFonts w:eastAsia="Times New Roman"/>
                <w:vertAlign w:val="superscript"/>
              </w:rPr>
            </w:pPr>
          </w:p>
        </w:tc>
        <w:tc>
          <w:tcPr>
            <w:tcW w:w="284" w:type="dxa"/>
          </w:tcPr>
          <w:p w14:paraId="23E8880C" w14:textId="77777777" w:rsidR="006C598C" w:rsidRDefault="006C598C">
            <w:pPr>
              <w:jc w:val="center"/>
              <w:rPr>
                <w:rFonts w:eastAsia="Times New Roman"/>
                <w:vertAlign w:val="superscript"/>
              </w:rPr>
            </w:pPr>
          </w:p>
        </w:tc>
        <w:tc>
          <w:tcPr>
            <w:tcW w:w="1558" w:type="dxa"/>
          </w:tcPr>
          <w:p w14:paraId="2AB7F16D" w14:textId="77777777" w:rsidR="006C598C" w:rsidRDefault="006C598C">
            <w:pPr>
              <w:jc w:val="center"/>
              <w:rPr>
                <w:rFonts w:eastAsia="Times New Roman"/>
                <w:vertAlign w:val="superscript"/>
              </w:rPr>
            </w:pPr>
          </w:p>
        </w:tc>
      </w:tr>
    </w:tbl>
    <w:p w14:paraId="704183E6" w14:textId="77777777" w:rsidR="006C598C" w:rsidRDefault="006C598C" w:rsidP="006C598C">
      <w:pPr>
        <w:rPr>
          <w:rFonts w:eastAsia="Times New Roman"/>
          <w:sz w:val="18"/>
          <w:szCs w:val="18"/>
        </w:rPr>
      </w:pPr>
    </w:p>
    <w:p w14:paraId="76DE74C0" w14:textId="77777777" w:rsidR="00197ADC" w:rsidRDefault="00197ADC"/>
    <w:sectPr w:rsidR="00197ADC" w:rsidSect="006C598C">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5C430" w14:textId="77777777" w:rsidR="0045527F" w:rsidRDefault="0045527F" w:rsidP="006C598C">
      <w:r>
        <w:separator/>
      </w:r>
    </w:p>
  </w:endnote>
  <w:endnote w:type="continuationSeparator" w:id="0">
    <w:p w14:paraId="36F02B05" w14:textId="77777777" w:rsidR="0045527F" w:rsidRDefault="0045527F" w:rsidP="006C5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B0495" w14:textId="77777777" w:rsidR="0045527F" w:rsidRDefault="0045527F" w:rsidP="006C598C">
      <w:r>
        <w:separator/>
      </w:r>
    </w:p>
  </w:footnote>
  <w:footnote w:type="continuationSeparator" w:id="0">
    <w:p w14:paraId="054A0DFB" w14:textId="77777777" w:rsidR="0045527F" w:rsidRDefault="0045527F" w:rsidP="006C598C">
      <w:r>
        <w:continuationSeparator/>
      </w:r>
    </w:p>
  </w:footnote>
  <w:footnote w:id="1">
    <w:p w14:paraId="1C6E0CD0" w14:textId="77777777" w:rsidR="006C598C" w:rsidRDefault="006C598C" w:rsidP="006C598C">
      <w:pPr>
        <w:widowControl w:val="0"/>
        <w:jc w:val="both"/>
      </w:pPr>
      <w:r>
        <w:rPr>
          <w:rStyle w:val="a3"/>
          <w:sz w:val="16"/>
          <w:szCs w:val="16"/>
        </w:rPr>
        <w:footnoteRef/>
      </w:r>
      <w:r>
        <w:rPr>
          <w:sz w:val="16"/>
          <w:szCs w:val="16"/>
        </w:rPr>
        <w:t> Протокол подписывается не менее чем двумя представителями редакции муниципального периодического печатного издания.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628"/>
    <w:rsid w:val="00197ADC"/>
    <w:rsid w:val="00314628"/>
    <w:rsid w:val="0045527F"/>
    <w:rsid w:val="006C5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BA53C"/>
  <w15:chartTrackingRefBased/>
  <w15:docId w15:val="{654C4207-44EB-4090-AD7F-B175B41A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
        <w:sz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98C"/>
    <w:pPr>
      <w:spacing w:after="0" w:line="240" w:lineRule="auto"/>
    </w:pPr>
    <w:rPr>
      <w:rFonts w:eastAsia="Calibri"/>
      <w:b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semiHidden/>
    <w:unhideWhenUsed/>
    <w:rsid w:val="006C59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38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2062</Words>
  <Characters>11754</Characters>
  <Application>Microsoft Office Word</Application>
  <DocSecurity>0</DocSecurity>
  <Lines>97</Lines>
  <Paragraphs>27</Paragraphs>
  <ScaleCrop>false</ScaleCrop>
  <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Председатель</dc:creator>
  <cp:keywords/>
  <dc:description/>
  <cp:lastModifiedBy>Председатель</cp:lastModifiedBy>
  <cp:revision>3</cp:revision>
  <dcterms:created xsi:type="dcterms:W3CDTF">2019-07-23T15:23:00Z</dcterms:created>
  <dcterms:modified xsi:type="dcterms:W3CDTF">2019-07-23T15:25:00Z</dcterms:modified>
</cp:coreProperties>
</file>